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C5B1A">
      <w:pPr>
        <w:pStyle w:val="9"/>
        <w:spacing w:before="120" w:beforeAutospacing="0" w:after="120" w:afterAutospacing="0" w:line="360" w:lineRule="auto"/>
      </w:pPr>
      <w:r>
        <w:t> </w:t>
      </w:r>
    </w:p>
    <w:p w14:paraId="74DFE1B0">
      <w:pPr>
        <w:pStyle w:val="9"/>
        <w:spacing w:before="120" w:beforeAutospacing="0" w:after="120" w:afterAutospacing="0" w:line="360" w:lineRule="auto"/>
        <w:jc w:val="center"/>
      </w:pPr>
      <w:r>
        <w:rPr>
          <w:rFonts w:ascii="Arial" w:hAnsi="Arial" w:cs="Arial"/>
          <w:b/>
          <w:color w:val="000000"/>
          <w:sz w:val="84"/>
          <w:szCs w:val="84"/>
        </w:rPr>
        <w:t>单一来源采购文件</w:t>
      </w:r>
    </w:p>
    <w:p w14:paraId="4BE216B2">
      <w:pPr>
        <w:pStyle w:val="9"/>
        <w:spacing w:before="120" w:beforeAutospacing="0" w:after="120" w:afterAutospacing="0" w:line="360" w:lineRule="auto"/>
        <w:ind w:firstLine="2249"/>
        <w:rPr>
          <w:rFonts w:ascii="Arial" w:hAnsi="Arial" w:cs="Arial"/>
          <w:b/>
          <w:color w:val="000000"/>
          <w:sz w:val="32"/>
          <w:szCs w:val="32"/>
        </w:rPr>
      </w:pPr>
    </w:p>
    <w:p w14:paraId="3B8D8AF3">
      <w:pPr>
        <w:pStyle w:val="9"/>
        <w:spacing w:before="120" w:beforeAutospacing="0" w:after="120" w:afterAutospacing="0" w:line="360" w:lineRule="auto"/>
        <w:ind w:firstLine="2249"/>
        <w:rPr>
          <w:rFonts w:ascii="Arial" w:hAnsi="Arial" w:cs="Arial"/>
          <w:b/>
          <w:color w:val="000000"/>
          <w:sz w:val="32"/>
          <w:szCs w:val="32"/>
        </w:rPr>
      </w:pPr>
    </w:p>
    <w:p w14:paraId="4AC9EE34">
      <w:pPr>
        <w:pStyle w:val="9"/>
        <w:spacing w:before="120" w:beforeAutospacing="0" w:after="120" w:afterAutospacing="0" w:line="360" w:lineRule="auto"/>
        <w:ind w:firstLine="2249"/>
        <w:rPr>
          <w:rFonts w:ascii="Arial" w:hAnsi="Arial" w:cs="Arial"/>
          <w:b/>
          <w:color w:val="000000"/>
          <w:sz w:val="32"/>
          <w:szCs w:val="32"/>
        </w:rPr>
      </w:pPr>
    </w:p>
    <w:p w14:paraId="211654E5">
      <w:pPr>
        <w:pStyle w:val="9"/>
        <w:spacing w:before="120" w:beforeAutospacing="0" w:after="120" w:afterAutospacing="0" w:line="360" w:lineRule="auto"/>
        <w:ind w:firstLine="2249"/>
        <w:rPr>
          <w:rFonts w:ascii="Arial" w:hAnsi="Arial" w:cs="Arial"/>
          <w:b/>
          <w:color w:val="000000"/>
          <w:sz w:val="32"/>
          <w:szCs w:val="32"/>
        </w:rPr>
      </w:pPr>
    </w:p>
    <w:p w14:paraId="40184F6A">
      <w:pPr>
        <w:pStyle w:val="9"/>
        <w:spacing w:before="120" w:beforeAutospacing="0" w:after="120" w:afterAutospacing="0" w:line="360" w:lineRule="auto"/>
        <w:ind w:firstLine="964" w:firstLineChars="300"/>
        <w:rPr>
          <w:rFonts w:ascii="Arial" w:hAnsi="Arial" w:cs="Arial"/>
          <w:b/>
          <w:color w:val="000000"/>
          <w:sz w:val="32"/>
          <w:szCs w:val="32"/>
        </w:rPr>
      </w:pPr>
      <w:r>
        <w:rPr>
          <w:rFonts w:ascii="Arial" w:hAnsi="Arial" w:cs="Arial"/>
          <w:b/>
          <w:color w:val="000000"/>
          <w:sz w:val="32"/>
          <w:szCs w:val="32"/>
        </w:rPr>
        <w:t>项目名称：</w:t>
      </w:r>
      <w:r>
        <w:rPr>
          <w:rFonts w:hint="eastAsia" w:ascii="Arial" w:hAnsi="Arial" w:cs="Arial"/>
          <w:b/>
          <w:color w:val="000000"/>
          <w:sz w:val="32"/>
          <w:szCs w:val="32"/>
        </w:rPr>
        <w:t>市级电视媒体形象宣传项目</w:t>
      </w:r>
    </w:p>
    <w:p w14:paraId="7FAB65C1">
      <w:pPr>
        <w:pStyle w:val="9"/>
        <w:spacing w:before="120" w:beforeAutospacing="0" w:after="120" w:afterAutospacing="0" w:line="360" w:lineRule="auto"/>
        <w:rPr>
          <w:rFonts w:ascii="Arial" w:hAnsi="Arial" w:cs="Arial"/>
          <w:b/>
          <w:color w:val="000000"/>
          <w:sz w:val="32"/>
          <w:szCs w:val="32"/>
        </w:rPr>
      </w:pPr>
    </w:p>
    <w:p w14:paraId="6D6B8B8E">
      <w:pPr>
        <w:pStyle w:val="9"/>
        <w:spacing w:before="120" w:beforeAutospacing="0" w:after="120" w:afterAutospacing="0" w:line="360" w:lineRule="auto"/>
        <w:ind w:firstLine="964" w:firstLineChars="300"/>
      </w:pPr>
      <w:r>
        <w:rPr>
          <w:rFonts w:ascii="Arial" w:hAnsi="Arial" w:cs="Arial"/>
          <w:b/>
          <w:color w:val="000000"/>
          <w:sz w:val="32"/>
          <w:szCs w:val="32"/>
        </w:rPr>
        <w:t>项目编号：</w:t>
      </w:r>
      <w:r>
        <w:rPr>
          <w:rFonts w:hint="eastAsia" w:ascii="Arial" w:hAnsi="Arial" w:cs="Arial"/>
          <w:b/>
          <w:color w:val="000000"/>
          <w:sz w:val="32"/>
          <w:szCs w:val="32"/>
        </w:rPr>
        <w:t>JSZC-320900-RHHH-D2025-0134</w:t>
      </w:r>
      <w:r>
        <w:rPr>
          <w:rFonts w:hint="eastAsia" w:ascii="Arial" w:hAnsi="Arial" w:cs="Arial"/>
          <w:b/>
          <w:color w:val="000000"/>
          <w:sz w:val="32"/>
          <w:szCs w:val="32"/>
        </w:rPr>
        <w:t>     </w:t>
      </w:r>
      <w:r>
        <w:rPr>
          <w:rFonts w:ascii="Times New Roman" w:hAnsi="Times New Roman"/>
          <w:color w:val="000000"/>
          <w:sz w:val="21"/>
          <w:szCs w:val="21"/>
        </w:rPr>
        <w:t xml:space="preserve"> </w:t>
      </w:r>
      <w:r>
        <w:rPr>
          <w:rFonts w:ascii="Times New Roman" w:hAnsi="Times New Roman"/>
          <w:b/>
          <w:color w:val="000000"/>
          <w:sz w:val="30"/>
          <w:szCs w:val="30"/>
        </w:rPr>
        <w:t xml:space="preserve">     </w:t>
      </w:r>
    </w:p>
    <w:p w14:paraId="51D5BCE6">
      <w:pPr>
        <w:pStyle w:val="9"/>
        <w:spacing w:beforeAutospacing="0" w:afterAutospacing="0" w:line="360" w:lineRule="auto"/>
      </w:pPr>
      <w:r>
        <w:t> </w:t>
      </w:r>
    </w:p>
    <w:p w14:paraId="0FBC9634">
      <w:pPr>
        <w:pStyle w:val="9"/>
        <w:spacing w:beforeAutospacing="0" w:afterAutospacing="0" w:line="360" w:lineRule="auto"/>
      </w:pPr>
      <w:r>
        <w:t> </w:t>
      </w:r>
    </w:p>
    <w:p w14:paraId="50DB09C7">
      <w:pPr>
        <w:pStyle w:val="9"/>
        <w:spacing w:beforeAutospacing="0" w:afterAutospacing="0" w:line="360" w:lineRule="auto"/>
      </w:pPr>
      <w:r>
        <w:t> </w:t>
      </w:r>
    </w:p>
    <w:p w14:paraId="7E12FCAB">
      <w:pPr>
        <w:pStyle w:val="9"/>
        <w:spacing w:beforeAutospacing="0" w:afterAutospacing="0" w:line="360" w:lineRule="auto"/>
      </w:pPr>
      <w:r>
        <w:t> </w:t>
      </w:r>
    </w:p>
    <w:p w14:paraId="3974231C">
      <w:pPr>
        <w:pStyle w:val="9"/>
        <w:spacing w:beforeAutospacing="0" w:afterAutospacing="0" w:line="360" w:lineRule="auto"/>
      </w:pPr>
      <w:r>
        <w:t> </w:t>
      </w:r>
    </w:p>
    <w:p w14:paraId="3773ADBB">
      <w:pPr>
        <w:pStyle w:val="9"/>
        <w:spacing w:beforeAutospacing="0" w:afterAutospacing="0" w:line="360" w:lineRule="auto"/>
      </w:pPr>
      <w:r>
        <w:t> </w:t>
      </w:r>
    </w:p>
    <w:p w14:paraId="6BDCC07D">
      <w:pPr>
        <w:pStyle w:val="9"/>
        <w:spacing w:beforeAutospacing="0" w:afterAutospacing="0" w:line="360" w:lineRule="auto"/>
      </w:pPr>
      <w:r>
        <w:t> </w:t>
      </w:r>
    </w:p>
    <w:p w14:paraId="0ED16849">
      <w:pPr>
        <w:pStyle w:val="9"/>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盐城市自然资源和规划局</w:t>
      </w:r>
    </w:p>
    <w:p w14:paraId="129A6927">
      <w:pPr>
        <w:pStyle w:val="9"/>
        <w:spacing w:before="120" w:beforeAutospacing="0" w:after="120" w:afterAutospacing="0" w:line="360" w:lineRule="auto"/>
        <w:jc w:val="center"/>
        <w:rPr>
          <w:rFonts w:ascii="Arial" w:hAnsi="Arial" w:cs="Arial"/>
          <w:b/>
          <w:color w:val="000000"/>
          <w:sz w:val="32"/>
          <w:szCs w:val="32"/>
        </w:rPr>
      </w:pPr>
    </w:p>
    <w:p w14:paraId="48C0AC39">
      <w:pPr>
        <w:pStyle w:val="9"/>
        <w:spacing w:before="120" w:beforeAutospacing="0" w:after="120" w:afterAutospacing="0" w:line="360" w:lineRule="auto"/>
        <w:jc w:val="center"/>
      </w:pPr>
      <w:r>
        <w:rPr>
          <w:rFonts w:hint="eastAsia" w:ascii="Arial" w:hAnsi="Arial" w:cs="Arial"/>
          <w:b/>
          <w:color w:val="000000"/>
          <w:sz w:val="32"/>
          <w:szCs w:val="32"/>
        </w:rPr>
        <w:t>2025</w:t>
      </w:r>
      <w:r>
        <w:rPr>
          <w:rFonts w:ascii="Arial" w:hAnsi="Arial" w:cs="Arial"/>
          <w:b/>
          <w:color w:val="000000"/>
          <w:sz w:val="32"/>
          <w:szCs w:val="32"/>
        </w:rPr>
        <w:t>年</w:t>
      </w:r>
      <w:r>
        <w:rPr>
          <w:rFonts w:hint="eastAsia" w:ascii="Arial" w:hAnsi="Arial" w:cs="Arial"/>
          <w:b/>
          <w:color w:val="000000"/>
          <w:sz w:val="32"/>
          <w:szCs w:val="32"/>
          <w:lang w:val="en-US" w:eastAsia="zh-CN"/>
        </w:rPr>
        <w:t>12</w:t>
      </w:r>
      <w:r>
        <w:rPr>
          <w:rFonts w:ascii="Arial" w:hAnsi="Arial" w:cs="Arial"/>
          <w:b/>
          <w:color w:val="000000"/>
          <w:sz w:val="32"/>
          <w:szCs w:val="32"/>
        </w:rPr>
        <w:t>月</w:t>
      </w:r>
      <w:r>
        <w:rPr>
          <w:rFonts w:hint="eastAsia" w:ascii="Arial" w:hAnsi="Arial" w:cs="Arial"/>
          <w:b/>
          <w:color w:val="000000"/>
          <w:sz w:val="32"/>
          <w:szCs w:val="32"/>
        </w:rPr>
        <w:t xml:space="preserve">  </w:t>
      </w:r>
    </w:p>
    <w:p w14:paraId="229BE33F">
      <w:pPr>
        <w:pStyle w:val="9"/>
        <w:spacing w:before="120" w:beforeAutospacing="0" w:after="120" w:afterAutospacing="0" w:line="360" w:lineRule="auto"/>
      </w:pPr>
      <w:r>
        <w:rPr>
          <w:rFonts w:ascii="Arial" w:hAnsi="Arial" w:cs="Arial"/>
          <w:color w:val="000000"/>
        </w:rPr>
        <w:t xml:space="preserve">                        </w:t>
      </w:r>
    </w:p>
    <w:p w14:paraId="5169A7E0">
      <w:pPr>
        <w:pStyle w:val="9"/>
        <w:spacing w:before="120" w:beforeAutospacing="0" w:after="120" w:afterAutospacing="0" w:line="360" w:lineRule="auto"/>
        <w:jc w:val="center"/>
      </w:pPr>
      <w:r>
        <w:t> </w:t>
      </w:r>
      <w:r>
        <w:rPr>
          <w:rFonts w:ascii="Times New Roman" w:hAnsi="Times New Roman"/>
          <w:color w:val="000000"/>
          <w:sz w:val="21"/>
          <w:szCs w:val="21"/>
        </w:rPr>
        <w:br w:type="page"/>
      </w:r>
      <w:bookmarkStart w:id="0" w:name="_Toc479757206"/>
      <w:bookmarkStart w:id="1" w:name="_Toc16938516"/>
      <w:bookmarkStart w:id="2" w:name="_Toc523127445"/>
      <w:bookmarkStart w:id="3" w:name="_Toc120614210"/>
      <w:bookmarkStart w:id="4" w:name="_Toc20823272"/>
      <w:bookmarkStart w:id="5" w:name="_Toc513029200"/>
      <w:r>
        <w:rPr>
          <w:rFonts w:hint="eastAsia" w:ascii="Times New Roman" w:hAnsi="Times New Roman"/>
          <w:color w:val="000000"/>
          <w:sz w:val="21"/>
          <w:szCs w:val="21"/>
        </w:rPr>
        <w:t xml:space="preserve"> </w:t>
      </w:r>
      <w:r>
        <w:rPr>
          <w:rFonts w:ascii="黑体" w:hAnsi="宋体" w:eastAsia="黑体" w:cs="黑体"/>
          <w:b/>
          <w:color w:val="000000"/>
          <w:sz w:val="44"/>
          <w:szCs w:val="44"/>
        </w:rPr>
        <w:t>总</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bookmarkEnd w:id="1"/>
      <w:bookmarkEnd w:id="2"/>
      <w:bookmarkEnd w:id="3"/>
      <w:bookmarkEnd w:id="4"/>
      <w:bookmarkEnd w:id="5"/>
    </w:p>
    <w:p w14:paraId="64C545A2">
      <w:pPr>
        <w:pStyle w:val="9"/>
        <w:spacing w:beforeAutospacing="0" w:afterAutospacing="0" w:line="480" w:lineRule="auto"/>
        <w:jc w:val="both"/>
      </w:pPr>
      <w:r>
        <w:t> </w:t>
      </w:r>
    </w:p>
    <w:p w14:paraId="7F0D3E46">
      <w:pPr>
        <w:pStyle w:val="9"/>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 xml:space="preserve">单一来源采购邀请…………………………1 </w:t>
      </w:r>
    </w:p>
    <w:p w14:paraId="3A1B0F3F">
      <w:pPr>
        <w:pStyle w:val="9"/>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供应商须知…………………………………5   </w:t>
      </w:r>
    </w:p>
    <w:p w14:paraId="3B24BBA1">
      <w:pPr>
        <w:pStyle w:val="9"/>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 xml:space="preserve">合同文本……………………………………19 </w:t>
      </w:r>
    </w:p>
    <w:p w14:paraId="0B3EDDDE">
      <w:pPr>
        <w:pStyle w:val="9"/>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r>
        <w:rPr>
          <w:rFonts w:hint="eastAsia" w:ascii="黑体" w:hAnsi="宋体" w:eastAsia="黑体" w:cs="黑体"/>
          <w:color w:val="000000"/>
          <w:sz w:val="36"/>
          <w:szCs w:val="36"/>
        </w:rPr>
        <w:t>采购需求……………………………………24</w:t>
      </w:r>
    </w:p>
    <w:p w14:paraId="05D240FA">
      <w:pPr>
        <w:pStyle w:val="9"/>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响应文件格式………………………………27</w:t>
      </w:r>
    </w:p>
    <w:p w14:paraId="6E137A8E">
      <w:pPr>
        <w:pStyle w:val="9"/>
        <w:spacing w:beforeAutospacing="0" w:afterAutospacing="0"/>
        <w:jc w:val="both"/>
      </w:pPr>
      <w:r>
        <w:t> </w:t>
      </w:r>
    </w:p>
    <w:p w14:paraId="7C517B37">
      <w:pPr>
        <w:pStyle w:val="9"/>
        <w:spacing w:beforeAutospacing="0" w:afterAutospacing="0"/>
        <w:jc w:val="both"/>
      </w:pPr>
      <w:r>
        <w:t> </w:t>
      </w:r>
    </w:p>
    <w:p w14:paraId="5CF0E0E5">
      <w:pPr>
        <w:pStyle w:val="9"/>
        <w:spacing w:beforeAutospacing="0" w:afterAutospacing="0"/>
        <w:jc w:val="both"/>
      </w:pPr>
      <w:r>
        <w:t> </w:t>
      </w:r>
    </w:p>
    <w:p w14:paraId="1FF08B08">
      <w:pPr>
        <w:pStyle w:val="9"/>
        <w:spacing w:beforeAutospacing="0" w:afterAutospacing="0"/>
        <w:jc w:val="both"/>
      </w:pPr>
      <w:r>
        <w:t> </w:t>
      </w:r>
    </w:p>
    <w:p w14:paraId="6A128393">
      <w:pPr>
        <w:pStyle w:val="9"/>
        <w:spacing w:beforeAutospacing="0" w:afterAutospacing="0"/>
        <w:jc w:val="both"/>
      </w:pPr>
      <w:r>
        <w:t> </w:t>
      </w:r>
    </w:p>
    <w:p w14:paraId="634E9E27">
      <w:pPr>
        <w:pStyle w:val="9"/>
        <w:spacing w:beforeAutospacing="0" w:afterAutospacing="0"/>
        <w:jc w:val="both"/>
      </w:pPr>
      <w:r>
        <w:t> </w:t>
      </w:r>
    </w:p>
    <w:p w14:paraId="5A1632C1">
      <w:pPr>
        <w:pStyle w:val="9"/>
        <w:spacing w:beforeAutospacing="0" w:afterAutospacing="0"/>
        <w:jc w:val="both"/>
      </w:pPr>
      <w:r>
        <w:t> </w:t>
      </w:r>
    </w:p>
    <w:p w14:paraId="20A6083B">
      <w:pPr>
        <w:pStyle w:val="9"/>
        <w:spacing w:beforeAutospacing="0" w:afterAutospacing="0"/>
        <w:jc w:val="both"/>
      </w:pPr>
      <w:r>
        <w:t> </w:t>
      </w:r>
    </w:p>
    <w:p w14:paraId="1C968B6A">
      <w:pPr>
        <w:pStyle w:val="9"/>
        <w:spacing w:beforeAutospacing="0" w:afterAutospacing="0"/>
        <w:jc w:val="both"/>
      </w:pPr>
      <w:r>
        <w:t> </w:t>
      </w:r>
    </w:p>
    <w:p w14:paraId="566F1C07">
      <w:pPr>
        <w:pStyle w:val="9"/>
        <w:spacing w:beforeAutospacing="0" w:afterAutospacing="0"/>
        <w:jc w:val="both"/>
      </w:pPr>
      <w:r>
        <w:t> </w:t>
      </w:r>
    </w:p>
    <w:p w14:paraId="7F930D0F">
      <w:pPr>
        <w:pStyle w:val="9"/>
        <w:spacing w:beforeAutospacing="0" w:afterAutospacing="0"/>
        <w:jc w:val="both"/>
      </w:pPr>
      <w:r>
        <w:t> </w:t>
      </w:r>
    </w:p>
    <w:p w14:paraId="4768F475">
      <w:pPr>
        <w:pStyle w:val="9"/>
        <w:spacing w:beforeAutospacing="0" w:afterAutospacing="0"/>
        <w:jc w:val="both"/>
      </w:pPr>
      <w:r>
        <w:t> </w:t>
      </w:r>
    </w:p>
    <w:p w14:paraId="2076F7A9">
      <w:pPr>
        <w:pStyle w:val="9"/>
        <w:spacing w:beforeAutospacing="0" w:afterAutospacing="0"/>
        <w:jc w:val="both"/>
      </w:pPr>
      <w:r>
        <w:t> </w:t>
      </w:r>
    </w:p>
    <w:p w14:paraId="0F07C8FE">
      <w:pPr>
        <w:pStyle w:val="9"/>
        <w:spacing w:beforeAutospacing="0" w:afterAutospacing="0"/>
        <w:jc w:val="both"/>
      </w:pPr>
      <w:r>
        <w:t> </w:t>
      </w:r>
    </w:p>
    <w:p w14:paraId="38B66D66">
      <w:pPr>
        <w:pStyle w:val="9"/>
        <w:spacing w:beforeAutospacing="0" w:afterAutospacing="0"/>
        <w:jc w:val="both"/>
      </w:pPr>
      <w:r>
        <w:t> </w:t>
      </w:r>
    </w:p>
    <w:p w14:paraId="498FB394">
      <w:pPr>
        <w:pStyle w:val="9"/>
        <w:spacing w:beforeAutospacing="0" w:afterAutospacing="0"/>
        <w:jc w:val="both"/>
      </w:pPr>
      <w:r>
        <w:t> </w:t>
      </w:r>
    </w:p>
    <w:p w14:paraId="28E90038">
      <w:pPr>
        <w:pStyle w:val="9"/>
        <w:spacing w:beforeAutospacing="0" w:afterAutospacing="0"/>
        <w:jc w:val="both"/>
      </w:pPr>
      <w:r>
        <w:t> </w:t>
      </w:r>
    </w:p>
    <w:p w14:paraId="0DBA3AD0">
      <w:pPr>
        <w:pStyle w:val="9"/>
        <w:spacing w:beforeAutospacing="0" w:afterAutospacing="0"/>
        <w:jc w:val="both"/>
      </w:pPr>
      <w:r>
        <w:t> </w:t>
      </w:r>
    </w:p>
    <w:p w14:paraId="3C6F0891">
      <w:pPr>
        <w:pStyle w:val="9"/>
        <w:spacing w:beforeAutospacing="0" w:afterAutospacing="0"/>
        <w:jc w:val="both"/>
      </w:pPr>
      <w:r>
        <w:t> </w:t>
      </w:r>
    </w:p>
    <w:p w14:paraId="0AA875B3">
      <w:pPr>
        <w:pStyle w:val="9"/>
        <w:spacing w:beforeAutospacing="0" w:afterAutospacing="0"/>
        <w:jc w:val="both"/>
      </w:pPr>
      <w:r>
        <w:t> </w:t>
      </w:r>
    </w:p>
    <w:p w14:paraId="7BB81164">
      <w:pPr>
        <w:pStyle w:val="9"/>
        <w:spacing w:beforeAutospacing="0" w:afterAutospacing="0"/>
        <w:jc w:val="both"/>
      </w:pPr>
      <w:r>
        <w:t> </w:t>
      </w:r>
    </w:p>
    <w:p w14:paraId="5F802076">
      <w:pPr>
        <w:pStyle w:val="9"/>
        <w:spacing w:beforeAutospacing="0" w:afterAutospacing="0"/>
        <w:jc w:val="both"/>
      </w:pPr>
      <w:r>
        <w:t> </w:t>
      </w:r>
    </w:p>
    <w:p w14:paraId="516A47E0">
      <w:pPr>
        <w:pStyle w:val="9"/>
        <w:spacing w:beforeAutospacing="0" w:afterAutospacing="0"/>
        <w:jc w:val="both"/>
      </w:pPr>
      <w:r>
        <w:t> </w:t>
      </w:r>
    </w:p>
    <w:p w14:paraId="755443A0">
      <w:pPr>
        <w:pStyle w:val="9"/>
        <w:spacing w:beforeAutospacing="0" w:afterAutospacing="0"/>
        <w:jc w:val="both"/>
      </w:pPr>
      <w:r>
        <w:t> </w:t>
      </w:r>
    </w:p>
    <w:p w14:paraId="3CB33681">
      <w:pPr>
        <w:pStyle w:val="9"/>
        <w:spacing w:beforeAutospacing="0" w:afterAutospacing="0"/>
        <w:jc w:val="both"/>
      </w:pPr>
      <w:r>
        <w:t> </w:t>
      </w:r>
    </w:p>
    <w:p w14:paraId="423EC390">
      <w:pPr>
        <w:pStyle w:val="9"/>
        <w:spacing w:beforeAutospacing="0" w:afterAutospacing="0"/>
        <w:jc w:val="both"/>
      </w:pPr>
      <w:r>
        <w:t> </w:t>
      </w:r>
    </w:p>
    <w:p w14:paraId="7CE136D6">
      <w:pPr>
        <w:pStyle w:val="9"/>
        <w:spacing w:beforeAutospacing="0" w:afterAutospacing="0"/>
        <w:jc w:val="both"/>
      </w:pPr>
      <w:r>
        <w:t> </w:t>
      </w:r>
    </w:p>
    <w:p w14:paraId="6701B38A">
      <w:pPr>
        <w:pStyle w:val="9"/>
        <w:spacing w:beforeAutospacing="0" w:afterAutospacing="0"/>
        <w:jc w:val="both"/>
      </w:pPr>
      <w:r>
        <w:t> </w:t>
      </w:r>
    </w:p>
    <w:p w14:paraId="4751A274">
      <w:pPr>
        <w:pStyle w:val="9"/>
        <w:spacing w:beforeAutospacing="0" w:afterAutospacing="0"/>
        <w:jc w:val="both"/>
      </w:pPr>
      <w:r>
        <w:t> </w:t>
      </w:r>
    </w:p>
    <w:p w14:paraId="21D21682">
      <w:pPr>
        <w:pStyle w:val="9"/>
        <w:keepNext/>
        <w:spacing w:beforeAutospacing="0" w:afterAutospacing="0"/>
        <w:jc w:val="center"/>
        <w:sectPr>
          <w:pgSz w:w="11906" w:h="16838"/>
          <w:pgMar w:top="1440" w:right="1800" w:bottom="1440" w:left="1800" w:header="851" w:footer="992" w:gutter="0"/>
          <w:cols w:space="425" w:num="1"/>
          <w:docGrid w:type="lines" w:linePitch="312" w:charSpace="0"/>
        </w:sectPr>
      </w:pPr>
    </w:p>
    <w:p w14:paraId="13B62EF4">
      <w:pPr>
        <w:pStyle w:val="9"/>
        <w:keepNext/>
        <w:spacing w:beforeAutospacing="0" w:afterAutospacing="0"/>
        <w:jc w:val="center"/>
      </w:pPr>
      <w:r>
        <w:t> </w:t>
      </w:r>
      <w:r>
        <w:rPr>
          <w:rFonts w:hint="eastAsia" w:ascii="黑体" w:hAnsi="宋体" w:eastAsia="黑体" w:cs="黑体"/>
          <w:color w:val="000000"/>
          <w:sz w:val="44"/>
          <w:szCs w:val="44"/>
        </w:rPr>
        <w:t>第一章   单一来源采购邀请</w:t>
      </w:r>
    </w:p>
    <w:p w14:paraId="4F34032F">
      <w:pPr>
        <w:pStyle w:val="9"/>
        <w:keepNext/>
        <w:keepLines/>
        <w:spacing w:before="145" w:beforeAutospacing="0" w:after="145" w:afterAutospacing="0" w:line="360" w:lineRule="auto"/>
        <w:ind w:firstLine="498"/>
        <w:jc w:val="both"/>
        <w:rPr>
          <w:rFonts w:hint="eastAsia" w:ascii="仿宋" w:hAnsi="仿宋" w:eastAsia="仿宋" w:cs="仿宋"/>
          <w:color w:val="000000"/>
          <w:sz w:val="28"/>
          <w:szCs w:val="28"/>
        </w:rPr>
      </w:pPr>
      <w:bookmarkStart w:id="6" w:name="_Toc35393790"/>
      <w:bookmarkStart w:id="7" w:name="_Toc38985263"/>
      <w:bookmarkStart w:id="8" w:name="_Toc35393621"/>
      <w:bookmarkStart w:id="9" w:name="_Hlk24379207"/>
      <w:bookmarkStart w:id="10" w:name="_Toc28359079"/>
      <w:bookmarkStart w:id="11" w:name="_Toc28359002"/>
      <w:r>
        <w:rPr>
          <w:rFonts w:hint="eastAsia" w:ascii="仿宋" w:hAnsi="仿宋" w:eastAsia="仿宋" w:cs="仿宋"/>
          <w:color w:val="000000"/>
          <w:sz w:val="28"/>
          <w:szCs w:val="28"/>
        </w:rPr>
        <w:t>受盐城市自然资源和规划局的委托，就市级电视媒体形象宣传项目进行单一来源采购，欢迎符合相关条件的合格供应商参加采购活动。</w:t>
      </w:r>
    </w:p>
    <w:p w14:paraId="196AF2ED">
      <w:pPr>
        <w:pStyle w:val="9"/>
        <w:keepNext/>
        <w:keepLines/>
        <w:spacing w:before="145" w:beforeAutospacing="0" w:after="145" w:afterAutospacing="0" w:line="360" w:lineRule="auto"/>
        <w:ind w:firstLine="498"/>
        <w:jc w:val="both"/>
      </w:pPr>
      <w:r>
        <w:rPr>
          <w:rFonts w:ascii="Times New Roman" w:hAnsi="Times New Roman"/>
          <w:b/>
          <w:color w:val="000000"/>
          <w:sz w:val="32"/>
          <w:szCs w:val="32"/>
        </w:rPr>
        <w:t>一、项目基本情况</w:t>
      </w:r>
      <w:bookmarkEnd w:id="6"/>
      <w:bookmarkEnd w:id="7"/>
      <w:bookmarkEnd w:id="8"/>
      <w:bookmarkEnd w:id="9"/>
      <w:bookmarkEnd w:id="10"/>
      <w:bookmarkEnd w:id="11"/>
    </w:p>
    <w:p w14:paraId="36F62133">
      <w:pPr>
        <w:pStyle w:val="9"/>
        <w:spacing w:beforeAutospacing="0" w:afterAutospacing="0"/>
        <w:ind w:firstLine="480"/>
        <w:jc w:val="both"/>
        <w:rPr>
          <w:rFonts w:hint="eastAsia" w:ascii="仿宋" w:hAnsi="仿宋" w:eastAsia="仿宋" w:cs="仿宋"/>
          <w:color w:val="000000"/>
          <w:sz w:val="28"/>
          <w:szCs w:val="28"/>
        </w:rPr>
      </w:pPr>
      <w:bookmarkStart w:id="12" w:name="_Toc35393791"/>
      <w:bookmarkStart w:id="13" w:name="_Toc35393622"/>
      <w:bookmarkStart w:id="14" w:name="_Toc28359080"/>
      <w:bookmarkStart w:id="15" w:name="_Toc38985264"/>
      <w:bookmarkStart w:id="16" w:name="_Toc28359003"/>
      <w:r>
        <w:rPr>
          <w:rFonts w:hint="eastAsia" w:ascii="仿宋" w:hAnsi="仿宋" w:eastAsia="仿宋" w:cs="仿宋"/>
          <w:color w:val="000000"/>
          <w:sz w:val="28"/>
          <w:szCs w:val="28"/>
        </w:rPr>
        <w:t xml:space="preserve">1.项目编号：JSZC-320900-RHHH-D2025-0134 </w:t>
      </w:r>
    </w:p>
    <w:p w14:paraId="1B6476B9">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2.项目名称：市级电视媒体形象宣传项目</w:t>
      </w:r>
    </w:p>
    <w:p w14:paraId="782B5ED6">
      <w:pPr>
        <w:pStyle w:val="9"/>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3.采购方式：单一来源采购</w:t>
      </w:r>
    </w:p>
    <w:p w14:paraId="32E22A75">
      <w:pPr>
        <w:pStyle w:val="9"/>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4.预算金额：800000.00元</w:t>
      </w:r>
    </w:p>
    <w:p w14:paraId="2983A7F1">
      <w:pPr>
        <w:spacing w:line="480" w:lineRule="exact"/>
        <w:ind w:firstLine="560" w:firstLineChars="200"/>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5.最高限价：800000.00元，投标人报价超过限价按无效标处理、不按照招标文件要求报价按无效标处理。</w:t>
      </w:r>
    </w:p>
    <w:p w14:paraId="3ACE8F6F">
      <w:pPr>
        <w:pStyle w:val="9"/>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333333"/>
          <w:sz w:val="28"/>
          <w:szCs w:val="28"/>
          <w:shd w:val="clear" w:color="auto" w:fill="FFFFFF"/>
        </w:rPr>
        <w:t>6.采购需求（简介）：</w:t>
      </w:r>
      <w:r>
        <w:rPr>
          <w:rFonts w:hint="eastAsia" w:ascii="仿宋" w:hAnsi="仿宋" w:eastAsia="仿宋" w:cs="仿宋"/>
          <w:color w:val="000000"/>
          <w:sz w:val="28"/>
          <w:szCs w:val="28"/>
        </w:rPr>
        <w:t>详细内容见本单一来源文件第四章</w:t>
      </w:r>
    </w:p>
    <w:p w14:paraId="216168B9">
      <w:pPr>
        <w:pStyle w:val="9"/>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7.合同履行期限：一年</w:t>
      </w:r>
    </w:p>
    <w:p w14:paraId="30FB3B0E">
      <w:pPr>
        <w:pStyle w:val="9"/>
        <w:spacing w:beforeAutospacing="0" w:afterAutospacing="0" w:line="360" w:lineRule="auto"/>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8.本项目</w:t>
      </w:r>
      <w:r>
        <w:rPr>
          <w:rFonts w:hint="eastAsia" w:ascii="仿宋" w:hAnsi="仿宋" w:eastAsia="仿宋" w:cs="仿宋"/>
          <w:b/>
          <w:bCs/>
          <w:color w:val="333333"/>
          <w:sz w:val="28"/>
          <w:szCs w:val="28"/>
          <w:u w:val="single"/>
          <w:shd w:val="clear" w:color="auto" w:fill="FFFFFF"/>
        </w:rPr>
        <w:t>不接受</w:t>
      </w:r>
      <w:r>
        <w:rPr>
          <w:rFonts w:hint="eastAsia" w:ascii="仿宋" w:hAnsi="仿宋" w:eastAsia="仿宋" w:cs="仿宋"/>
          <w:color w:val="333333"/>
          <w:sz w:val="28"/>
          <w:szCs w:val="28"/>
          <w:shd w:val="clear" w:color="auto" w:fill="FFFFFF"/>
        </w:rPr>
        <w:t>联合体参与单一来源采购活动</w:t>
      </w:r>
    </w:p>
    <w:p w14:paraId="31154441">
      <w:pPr>
        <w:pStyle w:val="9"/>
        <w:keepNext/>
        <w:keepLines/>
        <w:spacing w:before="145" w:beforeAutospacing="0" w:after="145" w:afterAutospacing="0" w:line="360" w:lineRule="auto"/>
        <w:ind w:firstLine="498"/>
        <w:jc w:val="both"/>
      </w:pPr>
      <w:r>
        <w:rPr>
          <w:rFonts w:ascii="Times New Roman" w:hAnsi="Times New Roman"/>
          <w:b/>
          <w:sz w:val="32"/>
          <w:szCs w:val="32"/>
        </w:rPr>
        <w:t>二、</w:t>
      </w:r>
      <w:bookmarkEnd w:id="12"/>
      <w:bookmarkEnd w:id="13"/>
      <w:bookmarkEnd w:id="14"/>
      <w:bookmarkEnd w:id="15"/>
      <w:bookmarkEnd w:id="16"/>
      <w:r>
        <w:rPr>
          <w:rFonts w:ascii="Times New Roman" w:hAnsi="Times New Roman"/>
          <w:b/>
          <w:sz w:val="32"/>
          <w:szCs w:val="32"/>
        </w:rPr>
        <w:t>合格单一来源供应商资格要求</w:t>
      </w:r>
    </w:p>
    <w:p w14:paraId="17E845FC">
      <w:pPr>
        <w:pStyle w:val="9"/>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1.满足《中华人民共和国政府采购法》第二十二条规定，并提供下列材料：</w:t>
      </w:r>
    </w:p>
    <w:p w14:paraId="44D19C41">
      <w:pPr>
        <w:pStyle w:val="9"/>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法人或者其他组织的营业执照等证明文件，自然人的身份证明；</w:t>
      </w:r>
    </w:p>
    <w:p w14:paraId="38643CEF">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1.2上一年度的财务状况报表（成立不满一年无需提供）；</w:t>
      </w:r>
    </w:p>
    <w:p w14:paraId="78827610">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1.3具备履行合同所必需的设备和专业技术能力的书面声明；</w:t>
      </w:r>
    </w:p>
    <w:p w14:paraId="3FF82A77">
      <w:pPr>
        <w:pStyle w:val="9"/>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E81EB60">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1.5参加政府采购活动前3年内在经营活动中没有重大违法记录的书面声明。</w:t>
      </w:r>
    </w:p>
    <w:p w14:paraId="492F9B0A">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1.6法律、行政法规规定的其他条件。</w:t>
      </w:r>
    </w:p>
    <w:p w14:paraId="425BAE51">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23B318A">
      <w:pPr>
        <w:pStyle w:val="9"/>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1.8单位负责人为同一人或者存在直接控股、管理关系的不同供应商，不得参加同一合同项下的政府采购活动。</w:t>
      </w:r>
    </w:p>
    <w:p w14:paraId="43E86C59">
      <w:pPr>
        <w:pStyle w:val="9"/>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2.落实政府采购政策需满足的资格要求：无</w:t>
      </w:r>
    </w:p>
    <w:p w14:paraId="46917DC7">
      <w:pPr>
        <w:pStyle w:val="9"/>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3.本项目的特定资格要求：/</w:t>
      </w:r>
    </w:p>
    <w:p w14:paraId="56932743">
      <w:pPr>
        <w:pStyle w:val="3"/>
        <w:spacing w:before="187" w:line="219" w:lineRule="auto"/>
        <w:ind w:left="503"/>
        <w:outlineLvl w:val="0"/>
        <w:rPr>
          <w:rFonts w:ascii="Times New Roman" w:hAnsi="Times New Roman" w:cs="Times New Roman" w:eastAsiaTheme="minorEastAsia"/>
          <w:b/>
          <w:kern w:val="0"/>
          <w:sz w:val="32"/>
          <w:szCs w:val="32"/>
          <w:lang w:eastAsia="zh-CN"/>
        </w:rPr>
      </w:pPr>
      <w:bookmarkStart w:id="17" w:name="_Toc28359086"/>
      <w:r>
        <w:rPr>
          <w:rFonts w:ascii="Times New Roman" w:hAnsi="Times New Roman" w:cs="Times New Roman" w:eastAsiaTheme="minorEastAsia"/>
          <w:b/>
          <w:kern w:val="0"/>
          <w:sz w:val="32"/>
          <w:szCs w:val="32"/>
          <w:lang w:eastAsia="zh-CN"/>
        </w:rPr>
        <w:t>三、</w:t>
      </w:r>
      <w:r>
        <w:rPr>
          <w:rFonts w:hint="eastAsia" w:ascii="Times New Roman" w:hAnsi="Times New Roman" w:cs="Times New Roman" w:eastAsiaTheme="minorEastAsia"/>
          <w:b/>
          <w:kern w:val="0"/>
          <w:sz w:val="32"/>
          <w:szCs w:val="32"/>
          <w:lang w:eastAsia="zh-CN"/>
        </w:rPr>
        <w:t>获取单一来源文件</w:t>
      </w:r>
    </w:p>
    <w:p w14:paraId="66562BB9">
      <w:pPr>
        <w:pStyle w:val="3"/>
        <w:spacing w:before="194" w:line="356" w:lineRule="auto"/>
        <w:ind w:left="27" w:right="105" w:firstLine="476"/>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1.采购文件获取截止时间：自采购文件在苏采云系统发布之日起至投标截止时间前。</w:t>
      </w:r>
    </w:p>
    <w:p w14:paraId="12D8581D">
      <w:pPr>
        <w:pStyle w:val="3"/>
        <w:spacing w:before="194" w:line="356" w:lineRule="auto"/>
        <w:ind w:left="27" w:right="105" w:firstLine="476"/>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2.地点：“苏采云 ”系统内免费下载（投标人必须在苏采云系统中获取采购 文件，方能参与政府采购项目）；</w:t>
      </w:r>
    </w:p>
    <w:p w14:paraId="10B90656">
      <w:pPr>
        <w:pStyle w:val="3"/>
        <w:spacing w:before="34" w:line="219" w:lineRule="auto"/>
        <w:ind w:left="505"/>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3.方式：本项目采用网上注册登记方式。</w:t>
      </w:r>
    </w:p>
    <w:p w14:paraId="2534D4C1">
      <w:pPr>
        <w:pStyle w:val="9"/>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4.售价：0元</w:t>
      </w:r>
    </w:p>
    <w:p w14:paraId="76D2BCD6">
      <w:pPr>
        <w:pStyle w:val="3"/>
        <w:spacing w:before="187" w:line="219" w:lineRule="auto"/>
        <w:ind w:left="503"/>
        <w:outlineLvl w:val="0"/>
        <w:rPr>
          <w:rFonts w:ascii="Times New Roman" w:hAnsi="Times New Roman" w:cs="Times New Roman" w:eastAsiaTheme="minorEastAsia"/>
          <w:b/>
          <w:kern w:val="0"/>
          <w:sz w:val="32"/>
          <w:szCs w:val="32"/>
          <w:lang w:eastAsia="zh-CN"/>
        </w:rPr>
      </w:pPr>
      <w:r>
        <w:rPr>
          <w:rFonts w:ascii="Times New Roman" w:hAnsi="Times New Roman" w:cs="Times New Roman" w:eastAsiaTheme="minorEastAsia"/>
          <w:b/>
          <w:kern w:val="0"/>
          <w:sz w:val="32"/>
          <w:szCs w:val="32"/>
          <w:lang w:eastAsia="zh-CN"/>
        </w:rPr>
        <w:t>四、提交响应文件截止时间</w:t>
      </w:r>
    </w:p>
    <w:p w14:paraId="0DA35DF3">
      <w:pPr>
        <w:pStyle w:val="9"/>
        <w:spacing w:beforeAutospacing="0" w:afterAutospacing="0"/>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1.截止时间：</w:t>
      </w:r>
      <w:r>
        <w:rPr>
          <w:rFonts w:hint="eastAsia" w:ascii="仿宋" w:hAnsi="仿宋" w:eastAsia="仿宋" w:cs="仿宋"/>
          <w:color w:val="000000"/>
          <w:sz w:val="28"/>
          <w:szCs w:val="28"/>
          <w:u w:val="single"/>
          <w:lang w:val="en-US" w:eastAsia="zh-CN"/>
        </w:rPr>
        <w:t>2025</w:t>
      </w:r>
      <w:r>
        <w:rPr>
          <w:rFonts w:hint="eastAsia" w:ascii="仿宋" w:hAnsi="仿宋" w:eastAsia="仿宋" w:cs="仿宋"/>
          <w:color w:val="000000"/>
          <w:sz w:val="28"/>
          <w:szCs w:val="28"/>
          <w:u w:val="single"/>
        </w:rPr>
        <w:t>年</w:t>
      </w:r>
      <w:r>
        <w:rPr>
          <w:rFonts w:hint="eastAsia" w:ascii="仿宋" w:hAnsi="仿宋" w:eastAsia="仿宋" w:cs="仿宋"/>
          <w:color w:val="000000"/>
          <w:sz w:val="28"/>
          <w:szCs w:val="28"/>
          <w:u w:val="single"/>
          <w:lang w:val="en-US" w:eastAsia="zh-CN"/>
        </w:rPr>
        <w:t>12</w:t>
      </w:r>
      <w:r>
        <w:rPr>
          <w:rFonts w:hint="eastAsia" w:ascii="仿宋" w:hAnsi="仿宋" w:eastAsia="仿宋" w:cs="仿宋"/>
          <w:color w:val="000000"/>
          <w:sz w:val="28"/>
          <w:szCs w:val="28"/>
          <w:u w:val="single"/>
        </w:rPr>
        <w:t>月</w:t>
      </w:r>
      <w:r>
        <w:rPr>
          <w:rFonts w:hint="eastAsia" w:ascii="仿宋" w:hAnsi="仿宋" w:eastAsia="仿宋" w:cs="仿宋"/>
          <w:color w:val="000000"/>
          <w:sz w:val="28"/>
          <w:szCs w:val="28"/>
          <w:u w:val="single"/>
          <w:lang w:val="en-US" w:eastAsia="zh-CN"/>
        </w:rPr>
        <w:t>19</w:t>
      </w:r>
      <w:r>
        <w:rPr>
          <w:rFonts w:hint="eastAsia" w:ascii="仿宋" w:hAnsi="仿宋" w:eastAsia="仿宋" w:cs="仿宋"/>
          <w:color w:val="000000"/>
          <w:sz w:val="28"/>
          <w:szCs w:val="28"/>
          <w:u w:val="single"/>
        </w:rPr>
        <w:t>日</w:t>
      </w:r>
      <w:r>
        <w:rPr>
          <w:rFonts w:hint="eastAsia" w:ascii="仿宋" w:hAnsi="仿宋" w:eastAsia="仿宋" w:cs="仿宋"/>
          <w:color w:val="000000"/>
          <w:sz w:val="28"/>
          <w:szCs w:val="28"/>
          <w:u w:val="single"/>
          <w:lang w:val="en-US" w:eastAsia="zh-CN"/>
        </w:rPr>
        <w:t>10</w:t>
      </w:r>
      <w:r>
        <w:rPr>
          <w:rFonts w:hint="eastAsia" w:ascii="仿宋" w:hAnsi="仿宋" w:eastAsia="仿宋" w:cs="仿宋"/>
          <w:color w:val="000000"/>
          <w:sz w:val="28"/>
          <w:szCs w:val="28"/>
          <w:u w:val="single"/>
        </w:rPr>
        <w:t>点</w:t>
      </w:r>
      <w:r>
        <w:rPr>
          <w:rFonts w:hint="eastAsia" w:ascii="仿宋" w:hAnsi="仿宋" w:eastAsia="仿宋" w:cs="仿宋"/>
          <w:color w:val="000000"/>
          <w:sz w:val="28"/>
          <w:szCs w:val="28"/>
          <w:u w:val="single"/>
          <w:lang w:val="en-US" w:eastAsia="zh-CN"/>
        </w:rPr>
        <w:t>30</w:t>
      </w:r>
      <w:r>
        <w:rPr>
          <w:rFonts w:hint="eastAsia" w:ascii="仿宋" w:hAnsi="仿宋" w:eastAsia="仿宋" w:cs="仿宋"/>
          <w:color w:val="000000"/>
          <w:sz w:val="28"/>
          <w:szCs w:val="28"/>
          <w:u w:val="single"/>
        </w:rPr>
        <w:t>分</w:t>
      </w:r>
      <w:r>
        <w:rPr>
          <w:rFonts w:hint="eastAsia" w:ascii="仿宋" w:hAnsi="仿宋" w:eastAsia="仿宋" w:cs="仿宋"/>
          <w:color w:val="000000"/>
          <w:sz w:val="28"/>
          <w:szCs w:val="28"/>
        </w:rPr>
        <w:t>（北京时间）。</w:t>
      </w:r>
    </w:p>
    <w:p w14:paraId="4F57DEA9">
      <w:pPr>
        <w:widowControl/>
        <w:spacing w:line="560" w:lineRule="exact"/>
        <w:ind w:firstLine="480"/>
        <w:jc w:val="left"/>
        <w:rPr>
          <w:rFonts w:hint="eastAsia" w:ascii="仿宋" w:hAnsi="仿宋" w:eastAsia="仿宋" w:cs="仿宋"/>
          <w:color w:val="000000"/>
          <w:sz w:val="28"/>
          <w:szCs w:val="28"/>
          <w:shd w:val="clear" w:color="auto" w:fill="FFFF00"/>
        </w:rPr>
      </w:pPr>
      <w:r>
        <w:rPr>
          <w:rFonts w:hint="eastAsia" w:ascii="仿宋" w:hAnsi="仿宋" w:eastAsia="仿宋" w:cs="仿宋"/>
          <w:color w:val="333333"/>
          <w:kern w:val="0"/>
          <w:sz w:val="28"/>
          <w:szCs w:val="28"/>
          <w:shd w:val="clear" w:color="auto" w:fill="FFFFFF"/>
        </w:rPr>
        <w:t>2.地点：苏采云“不见面”开标大厅</w:t>
      </w:r>
      <w:r>
        <w:rPr>
          <w:rFonts w:hint="eastAsia" w:ascii="仿宋" w:hAnsi="仿宋" w:eastAsia="仿宋" w:cs="仿宋"/>
          <w:color w:val="000000"/>
          <w:sz w:val="28"/>
          <w:szCs w:val="28"/>
        </w:rPr>
        <w:t>。</w:t>
      </w:r>
    </w:p>
    <w:p w14:paraId="7905D9C0">
      <w:pPr>
        <w:pStyle w:val="3"/>
        <w:spacing w:before="187" w:line="219" w:lineRule="auto"/>
        <w:ind w:left="503"/>
        <w:outlineLvl w:val="0"/>
        <w:rPr>
          <w:rFonts w:ascii="Times New Roman" w:hAnsi="Times New Roman" w:cs="Times New Roman" w:eastAsiaTheme="minorEastAsia"/>
          <w:b/>
          <w:kern w:val="0"/>
          <w:sz w:val="32"/>
          <w:szCs w:val="32"/>
          <w:lang w:eastAsia="zh-CN"/>
        </w:rPr>
      </w:pPr>
      <w:r>
        <w:rPr>
          <w:rFonts w:hint="eastAsia" w:ascii="Times New Roman" w:hAnsi="Times New Roman" w:cs="Times New Roman" w:eastAsiaTheme="minorEastAsia"/>
          <w:b/>
          <w:kern w:val="0"/>
          <w:sz w:val="32"/>
          <w:szCs w:val="32"/>
          <w:lang w:eastAsia="zh-CN"/>
        </w:rPr>
        <w:t>五、其他</w:t>
      </w:r>
    </w:p>
    <w:p w14:paraId="707F8B37">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80CAF8B">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49B75D5C">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2.潜在供应商访问电子招标响应交易平台的网络地址和方法： </w:t>
      </w:r>
    </w:p>
    <w:p w14:paraId="1A85618C">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9FC0A82">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2.2 潜在投标人访问“苏采云”系统方法：江苏省政府采购网首页-“苏采云”链接。 </w:t>
      </w:r>
    </w:p>
    <w:p w14:paraId="252BDE1E">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2.3 采购文件（后缀名为“.kedt”）、供应商操作手册及政府采购客户端 工具可通过“苏采云”系统相应链接进行下载。 </w:t>
      </w:r>
    </w:p>
    <w:p w14:paraId="1EF4E3EA">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2.4 采购代理机构将数据电文形式的采购文件加载至“苏采云”系统，供潜在供应商下载或者查阅。 </w:t>
      </w:r>
    </w:p>
    <w:p w14:paraId="33D858A2">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2.5 请潜在投标单位提前安装相应的控件（详见《“苏采云”系统供应商操作手册》）并使用谷歌浏览器登录“苏采云”系统参与不见面开评标。 </w:t>
      </w:r>
    </w:p>
    <w:p w14:paraId="0DCD036A">
      <w:pPr>
        <w:pStyle w:val="9"/>
        <w:tabs>
          <w:tab w:val="left" w:pos="901"/>
        </w:tabs>
        <w:spacing w:beforeAutospacing="0" w:afterAutospacing="0" w:line="480" w:lineRule="exact"/>
        <w:ind w:firstLine="480"/>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如潜在投标人未按上述要求操作，将自行承担所产生的风险。</w:t>
      </w:r>
    </w:p>
    <w:p w14:paraId="0D08B4B4">
      <w:pPr>
        <w:pStyle w:val="3"/>
        <w:spacing w:line="480" w:lineRule="exact"/>
        <w:ind w:left="540"/>
        <w:rPr>
          <w:rFonts w:hint="eastAsia" w:ascii="仿宋" w:hAnsi="仿宋" w:eastAsia="仿宋" w:cs="仿宋"/>
          <w:sz w:val="28"/>
          <w:szCs w:val="28"/>
          <w:lang w:eastAsia="zh-CN"/>
        </w:rPr>
      </w:pPr>
      <w:r>
        <w:rPr>
          <w:rFonts w:hint="eastAsia" w:ascii="仿宋" w:hAnsi="仿宋" w:eastAsia="仿宋" w:cs="仿宋"/>
          <w:color w:val="000000"/>
          <w:sz w:val="28"/>
          <w:szCs w:val="28"/>
          <w:lang w:eastAsia="zh-CN"/>
        </w:rPr>
        <w:t>3. 本次单一来源采购不收取投标保证金，不收取质量保证金。</w:t>
      </w:r>
    </w:p>
    <w:p w14:paraId="220923E6">
      <w:pPr>
        <w:pStyle w:val="3"/>
        <w:spacing w:before="187" w:line="219" w:lineRule="auto"/>
        <w:ind w:left="503"/>
        <w:outlineLvl w:val="0"/>
        <w:rPr>
          <w:rFonts w:ascii="Times New Roman" w:hAnsi="Times New Roman" w:cs="Times New Roman" w:eastAsiaTheme="minorEastAsia"/>
          <w:b/>
          <w:kern w:val="0"/>
          <w:sz w:val="32"/>
          <w:szCs w:val="32"/>
          <w:lang w:eastAsia="zh-CN"/>
        </w:rPr>
      </w:pPr>
      <w:r>
        <w:rPr>
          <w:rFonts w:hint="eastAsia" w:ascii="Times New Roman" w:hAnsi="Times New Roman" w:cs="Times New Roman" w:eastAsiaTheme="minorEastAsia"/>
          <w:b/>
          <w:kern w:val="0"/>
          <w:sz w:val="32"/>
          <w:szCs w:val="32"/>
          <w:lang w:eastAsia="zh-CN"/>
        </w:rPr>
        <w:t>六、凡对本次采购提出询问，请按以下方式联系。</w:t>
      </w:r>
    </w:p>
    <w:p w14:paraId="53B30578">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1.采购人信息</w:t>
      </w:r>
    </w:p>
    <w:p w14:paraId="15E5C169">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名 称： 盐城市自然资源和规划局</w:t>
      </w:r>
    </w:p>
    <w:p w14:paraId="2A399371">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地址： 盐城市毓龙东路59号 </w:t>
      </w:r>
    </w:p>
    <w:p w14:paraId="7DDA15A9">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联系人：柏先生           </w:t>
      </w:r>
    </w:p>
    <w:p w14:paraId="327DFCC4">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联系方式：0515-88187119</w:t>
      </w:r>
      <w:bookmarkStart w:id="18" w:name="_Toc28359009"/>
      <w:bookmarkEnd w:id="18"/>
      <w:r>
        <w:rPr>
          <w:rFonts w:hint="eastAsia" w:ascii="仿宋" w:hAnsi="仿宋" w:eastAsia="仿宋" w:cs="仿宋"/>
          <w:color w:val="333333"/>
          <w:kern w:val="0"/>
          <w:sz w:val="28"/>
          <w:szCs w:val="28"/>
          <w:shd w:val="clear" w:color="auto" w:fill="FFFFFF"/>
        </w:rPr>
        <w:t xml:space="preserve">         </w:t>
      </w:r>
    </w:p>
    <w:p w14:paraId="2656B529">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2.采购代理机构信息</w:t>
      </w:r>
    </w:p>
    <w:p w14:paraId="6770A415">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名 称：江苏仁禾中衡工程咨询房地产估价有限公司</w:t>
      </w:r>
    </w:p>
    <w:p w14:paraId="6753B0B0">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地 址：盐城市盐都区服务大厦20楼2007室 </w:t>
      </w:r>
    </w:p>
    <w:p w14:paraId="10AE41D5">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联系人：徐女士、王先生              </w:t>
      </w:r>
    </w:p>
    <w:p w14:paraId="08203F74">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联系方式：</w:t>
      </w:r>
      <w:bookmarkStart w:id="19" w:name="_Toc28359010"/>
      <w:bookmarkStart w:id="20" w:name="_Toc28359087"/>
      <w:r>
        <w:rPr>
          <w:rFonts w:hint="eastAsia" w:ascii="仿宋" w:hAnsi="仿宋" w:eastAsia="仿宋" w:cs="仿宋"/>
          <w:color w:val="333333"/>
          <w:kern w:val="0"/>
          <w:sz w:val="28"/>
          <w:szCs w:val="28"/>
          <w:shd w:val="clear" w:color="auto" w:fill="FFFFFF"/>
        </w:rPr>
        <w:t>0515-69085191、15950234320</w:t>
      </w:r>
      <w:bookmarkEnd w:id="19"/>
      <w:bookmarkEnd w:id="20"/>
      <w:r>
        <w:rPr>
          <w:rFonts w:hint="eastAsia" w:ascii="仿宋" w:hAnsi="仿宋" w:eastAsia="仿宋" w:cs="仿宋"/>
          <w:color w:val="333333"/>
          <w:kern w:val="0"/>
          <w:sz w:val="28"/>
          <w:szCs w:val="28"/>
          <w:shd w:val="clear" w:color="auto" w:fill="FFFFFF"/>
        </w:rPr>
        <w:t xml:space="preserve">             </w:t>
      </w:r>
    </w:p>
    <w:p w14:paraId="582F0C06">
      <w:pPr>
        <w:spacing w:line="480" w:lineRule="exact"/>
        <w:ind w:firstLine="560" w:firstLineChars="200"/>
        <w:rPr>
          <w:rFonts w:hint="eastAsia" w:ascii="仿宋" w:hAnsi="仿宋" w:eastAsia="仿宋" w:cs="仿宋"/>
          <w:color w:val="333333"/>
          <w:kern w:val="0"/>
          <w:sz w:val="28"/>
          <w:szCs w:val="28"/>
          <w:shd w:val="clear" w:color="auto" w:fill="FFFFFF"/>
        </w:rPr>
      </w:pPr>
      <w:bookmarkStart w:id="21" w:name="_Toc28359021"/>
      <w:r>
        <w:rPr>
          <w:rFonts w:hint="eastAsia" w:ascii="仿宋" w:hAnsi="仿宋" w:eastAsia="仿宋" w:cs="仿宋"/>
          <w:color w:val="333333"/>
          <w:kern w:val="0"/>
          <w:sz w:val="28"/>
          <w:szCs w:val="28"/>
          <w:shd w:val="clear" w:color="auto" w:fill="FFFFFF"/>
        </w:rPr>
        <w:t>3.</w:t>
      </w:r>
      <w:bookmarkEnd w:id="21"/>
      <w:r>
        <w:rPr>
          <w:rFonts w:hint="eastAsia" w:ascii="仿宋" w:hAnsi="仿宋" w:eastAsia="仿宋" w:cs="仿宋"/>
          <w:color w:val="333333"/>
          <w:kern w:val="0"/>
          <w:sz w:val="28"/>
          <w:szCs w:val="28"/>
          <w:shd w:val="clear" w:color="auto" w:fill="FFFFFF"/>
        </w:rPr>
        <w:t>项目联系方式</w:t>
      </w:r>
    </w:p>
    <w:p w14:paraId="1FED1594">
      <w:pPr>
        <w:spacing w:line="48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项目联系人：柏先生 </w:t>
      </w:r>
    </w:p>
    <w:p w14:paraId="6561889C">
      <w:pPr>
        <w:spacing w:line="480" w:lineRule="exact"/>
        <w:ind w:firstLine="560" w:firstLineChars="200"/>
        <w:rPr>
          <w:rFonts w:hint="eastAsia" w:ascii="仿宋" w:hAnsi="仿宋" w:eastAsia="仿宋" w:cs="仿宋"/>
          <w:b/>
          <w:color w:val="000000"/>
          <w:sz w:val="28"/>
          <w:szCs w:val="28"/>
        </w:rPr>
      </w:pPr>
      <w:r>
        <w:rPr>
          <w:rFonts w:hint="eastAsia" w:ascii="仿宋" w:hAnsi="仿宋" w:eastAsia="仿宋" w:cs="仿宋"/>
          <w:color w:val="333333"/>
          <w:kern w:val="0"/>
          <w:sz w:val="28"/>
          <w:szCs w:val="28"/>
          <w:shd w:val="clear" w:color="auto" w:fill="FFFFFF"/>
        </w:rPr>
        <w:t xml:space="preserve">电　　 话：0515-88187119 </w:t>
      </w:r>
      <w:r>
        <w:rPr>
          <w:rFonts w:hint="eastAsia" w:ascii="仿宋" w:hAnsi="仿宋" w:eastAsia="仿宋" w:cs="仿宋"/>
          <w:color w:val="333333"/>
          <w:sz w:val="28"/>
          <w:szCs w:val="28"/>
          <w:shd w:val="clear" w:color="auto" w:fill="FFFFFF"/>
        </w:rPr>
        <w:t>　　　　</w:t>
      </w:r>
      <w:r>
        <w:rPr>
          <w:rFonts w:hint="eastAsia" w:ascii="仿宋" w:hAnsi="仿宋" w:eastAsia="仿宋" w:cs="仿宋"/>
          <w:b/>
          <w:color w:val="000000"/>
          <w:sz w:val="28"/>
          <w:szCs w:val="28"/>
        </w:rPr>
        <w:br w:type="page"/>
      </w:r>
    </w:p>
    <w:p w14:paraId="69C2AB33">
      <w:pPr>
        <w:pStyle w:val="9"/>
        <w:keepNext/>
        <w:keepLines/>
        <w:spacing w:before="260" w:beforeAutospacing="0" w:after="260" w:afterAutospacing="0" w:line="415" w:lineRule="auto"/>
        <w:jc w:val="center"/>
      </w:pPr>
      <w:bookmarkStart w:id="22" w:name="_Toc120614211"/>
      <w:r>
        <w:rPr>
          <w:rFonts w:hint="eastAsia" w:ascii="黑体" w:hAnsi="宋体" w:eastAsia="黑体" w:cs="黑体"/>
          <w:b/>
          <w:color w:val="000000"/>
          <w:sz w:val="44"/>
          <w:szCs w:val="44"/>
        </w:rPr>
        <w:t xml:space="preserve">第二章   </w:t>
      </w:r>
      <w:bookmarkEnd w:id="22"/>
      <w:r>
        <w:rPr>
          <w:rFonts w:hint="eastAsia" w:ascii="黑体" w:hAnsi="宋体" w:eastAsia="黑体" w:cs="黑体"/>
          <w:b/>
          <w:color w:val="000000"/>
          <w:sz w:val="44"/>
          <w:szCs w:val="44"/>
        </w:rPr>
        <w:t>供应商须知</w:t>
      </w:r>
    </w:p>
    <w:p w14:paraId="6C2EBE42">
      <w:pPr>
        <w:pStyle w:val="9"/>
        <w:keepNext/>
        <w:keepLines/>
        <w:spacing w:before="145" w:beforeAutospacing="0" w:after="145" w:afterAutospacing="0" w:line="480" w:lineRule="exact"/>
        <w:ind w:firstLine="498"/>
        <w:jc w:val="both"/>
        <w:rPr>
          <w:rFonts w:hint="eastAsia" w:ascii="宋体" w:hAnsi="宋体" w:eastAsia="宋体" w:cs="宋体"/>
        </w:rPr>
      </w:pPr>
      <w:bookmarkStart w:id="23" w:name="_Toc120614214"/>
      <w:bookmarkStart w:id="24" w:name="_Toc16938519"/>
      <w:bookmarkStart w:id="25" w:name="_Toc513029203"/>
      <w:bookmarkStart w:id="26" w:name="_Toc20823275"/>
      <w:r>
        <w:rPr>
          <w:rFonts w:hint="eastAsia" w:ascii="宋体" w:hAnsi="宋体" w:eastAsia="宋体" w:cs="宋体"/>
          <w:b/>
          <w:color w:val="000000"/>
          <w:sz w:val="32"/>
          <w:szCs w:val="32"/>
        </w:rPr>
        <w:t>一、总则</w:t>
      </w:r>
      <w:bookmarkEnd w:id="23"/>
      <w:bookmarkEnd w:id="24"/>
      <w:bookmarkEnd w:id="25"/>
      <w:bookmarkEnd w:id="26"/>
    </w:p>
    <w:p w14:paraId="5845D80C">
      <w:pPr>
        <w:pStyle w:val="9"/>
        <w:keepNext/>
        <w:keepLines/>
        <w:spacing w:beforeAutospacing="0" w:afterAutospacing="0" w:line="480" w:lineRule="exact"/>
        <w:ind w:firstLine="420"/>
        <w:jc w:val="both"/>
        <w:rPr>
          <w:rFonts w:hint="eastAsia" w:ascii="宋体" w:hAnsi="宋体" w:eastAsia="宋体" w:cs="宋体"/>
        </w:rPr>
      </w:pPr>
      <w:bookmarkStart w:id="27" w:name="_Toc20823276"/>
      <w:bookmarkStart w:id="28" w:name="_Toc513029204"/>
      <w:bookmarkStart w:id="29" w:name="_Toc458694821"/>
      <w:bookmarkStart w:id="30" w:name="_Toc16938520"/>
      <w:bookmarkStart w:id="31" w:name="_Hlt16619475"/>
      <w:r>
        <w:rPr>
          <w:rFonts w:hint="eastAsia" w:ascii="宋体" w:hAnsi="宋体" w:eastAsia="宋体" w:cs="宋体"/>
          <w:color w:val="000000"/>
        </w:rPr>
        <w:t>1</w:t>
      </w:r>
      <w:bookmarkEnd w:id="27"/>
      <w:r>
        <w:rPr>
          <w:rFonts w:hint="eastAsia" w:ascii="宋体" w:hAnsi="宋体" w:eastAsia="宋体" w:cs="宋体"/>
          <w:color w:val="000000"/>
        </w:rPr>
        <w:t>、采购方式</w:t>
      </w:r>
      <w:bookmarkEnd w:id="28"/>
      <w:bookmarkEnd w:id="29"/>
      <w:bookmarkEnd w:id="30"/>
    </w:p>
    <w:p w14:paraId="0A7E17C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1.1 本次政府采购活动采取单一来源采购方式。</w:t>
      </w:r>
    </w:p>
    <w:p w14:paraId="22622753">
      <w:pPr>
        <w:pStyle w:val="9"/>
        <w:keepNext/>
        <w:keepLines/>
        <w:spacing w:beforeAutospacing="0" w:afterAutospacing="0" w:line="480" w:lineRule="exact"/>
        <w:ind w:firstLine="420"/>
        <w:jc w:val="both"/>
        <w:rPr>
          <w:rFonts w:hint="eastAsia" w:ascii="宋体" w:hAnsi="宋体" w:eastAsia="宋体" w:cs="宋体"/>
        </w:rPr>
      </w:pPr>
      <w:bookmarkStart w:id="32" w:name="_Toc16938521"/>
      <w:bookmarkStart w:id="33" w:name="_Toc20823277"/>
      <w:bookmarkStart w:id="34" w:name="_Toc513029205"/>
      <w:r>
        <w:rPr>
          <w:rFonts w:hint="eastAsia" w:ascii="宋体" w:hAnsi="宋体" w:eastAsia="宋体" w:cs="宋体"/>
          <w:color w:val="000000"/>
        </w:rPr>
        <w:t>2、合格的</w:t>
      </w:r>
      <w:bookmarkEnd w:id="32"/>
      <w:bookmarkEnd w:id="33"/>
      <w:bookmarkEnd w:id="34"/>
      <w:r>
        <w:rPr>
          <w:rFonts w:hint="eastAsia" w:ascii="宋体" w:hAnsi="宋体" w:eastAsia="宋体" w:cs="宋体"/>
          <w:color w:val="000000"/>
        </w:rPr>
        <w:t>供应商</w:t>
      </w:r>
    </w:p>
    <w:p w14:paraId="2A8B5752">
      <w:pPr>
        <w:pStyle w:val="9"/>
        <w:spacing w:beforeAutospacing="0" w:afterAutospacing="0" w:line="480" w:lineRule="exact"/>
        <w:ind w:firstLine="480"/>
        <w:jc w:val="both"/>
        <w:rPr>
          <w:rFonts w:hint="eastAsia" w:ascii="宋体" w:hAnsi="宋体" w:eastAsia="宋体" w:cs="宋体"/>
        </w:rPr>
      </w:pPr>
      <w:bookmarkStart w:id="35" w:name="_Toc20823278"/>
      <w:bookmarkStart w:id="36" w:name="_Toc16938522"/>
      <w:bookmarkStart w:id="37" w:name="_Toc513029206"/>
      <w:r>
        <w:rPr>
          <w:rFonts w:hint="eastAsia" w:ascii="宋体" w:hAnsi="宋体" w:eastAsia="宋体" w:cs="宋体"/>
          <w:color w:val="000000"/>
        </w:rPr>
        <w:t>2.1 满足采购文件中合格单一来源供应商资格要求的规定。</w:t>
      </w:r>
      <w:bookmarkEnd w:id="35"/>
      <w:bookmarkEnd w:id="36"/>
      <w:bookmarkEnd w:id="37"/>
    </w:p>
    <w:p w14:paraId="3EA1B929">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2.2 满足本采购文件实质性条款的规定。</w:t>
      </w:r>
    </w:p>
    <w:p w14:paraId="5D492199">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color w:val="000000"/>
        </w:rPr>
        <w:t>3、适用法律</w:t>
      </w:r>
    </w:p>
    <w:p w14:paraId="599AE444">
      <w:pPr>
        <w:pStyle w:val="9"/>
        <w:spacing w:beforeAutospacing="0" w:afterAutospacing="0" w:line="480" w:lineRule="exact"/>
        <w:ind w:firstLine="420"/>
        <w:jc w:val="both"/>
        <w:rPr>
          <w:rFonts w:hint="eastAsia" w:ascii="宋体" w:hAnsi="宋体" w:eastAsia="宋体" w:cs="宋体"/>
        </w:rPr>
      </w:pPr>
      <w:r>
        <w:rPr>
          <w:rFonts w:hint="eastAsia" w:ascii="宋体" w:hAnsi="宋体" w:eastAsia="宋体" w:cs="宋体"/>
          <w:color w:val="000000"/>
        </w:rPr>
        <w:t>3.1 本次采购及由此产生的合同受中华人民共和国有关的法律法规制约和保护。</w:t>
      </w:r>
    </w:p>
    <w:p w14:paraId="2633DDF2">
      <w:pPr>
        <w:pStyle w:val="9"/>
        <w:keepNext/>
        <w:keepLines/>
        <w:spacing w:beforeAutospacing="0" w:afterAutospacing="0" w:line="480" w:lineRule="exact"/>
        <w:ind w:firstLine="420"/>
        <w:jc w:val="both"/>
        <w:rPr>
          <w:rFonts w:hint="eastAsia" w:ascii="宋体" w:hAnsi="宋体" w:eastAsia="宋体" w:cs="宋体"/>
        </w:rPr>
      </w:pPr>
      <w:bookmarkStart w:id="38" w:name="_Toc16938523"/>
      <w:bookmarkStart w:id="39" w:name="_Toc20823279"/>
      <w:bookmarkStart w:id="40" w:name="_Toc462564067"/>
      <w:bookmarkStart w:id="41" w:name="_Toc513029207"/>
      <w:r>
        <w:rPr>
          <w:rFonts w:hint="eastAsia" w:ascii="宋体" w:hAnsi="宋体" w:eastAsia="宋体" w:cs="宋体"/>
          <w:color w:val="000000"/>
        </w:rPr>
        <w:t>4、相关费用</w:t>
      </w:r>
      <w:bookmarkEnd w:id="38"/>
      <w:bookmarkEnd w:id="39"/>
      <w:bookmarkEnd w:id="40"/>
      <w:bookmarkEnd w:id="41"/>
    </w:p>
    <w:p w14:paraId="2ED64D34">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4.1供应商应自行承担所有与参加本次采购有关的费用，无论采购过程中的做法和结果如何，采购人在任何情况下均无义务和责任承担这些费用。</w:t>
      </w:r>
    </w:p>
    <w:p w14:paraId="6E5C97E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4.2招标代理服务费（中标/成交服务费）：招标代理服务费根据代理合同约定的收费标准的35%收取代理服务费，即50万元以内按1万元的35%计取，50-400万元按</w:t>
      </w:r>
      <w:r>
        <w:rPr>
          <w:rFonts w:hint="eastAsia" w:ascii="宋体" w:hAnsi="宋体" w:cs="宋体"/>
          <w:color w:val="000000"/>
        </w:rPr>
        <w:t>（中标价-50万元）的</w:t>
      </w:r>
      <w:r>
        <w:rPr>
          <w:rFonts w:hint="eastAsia" w:ascii="宋体" w:hAnsi="宋体" w:eastAsia="宋体" w:cs="宋体"/>
          <w:color w:val="000000"/>
        </w:rPr>
        <w:t>1.5%的35%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713BAAB1">
      <w:pPr>
        <w:pStyle w:val="9"/>
        <w:keepNext/>
        <w:keepLines/>
        <w:spacing w:beforeAutospacing="0" w:afterAutospacing="0" w:line="480" w:lineRule="exact"/>
        <w:ind w:firstLine="301"/>
        <w:jc w:val="both"/>
        <w:rPr>
          <w:rFonts w:hint="eastAsia"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采购文件的约束力</w:t>
      </w:r>
    </w:p>
    <w:p w14:paraId="1910303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1D16F884">
      <w:pPr>
        <w:pStyle w:val="9"/>
        <w:keepNext/>
        <w:keepLines/>
        <w:spacing w:before="145" w:beforeAutospacing="0" w:after="145" w:afterAutospacing="0" w:line="480" w:lineRule="exact"/>
        <w:ind w:firstLine="321"/>
        <w:jc w:val="both"/>
        <w:rPr>
          <w:rFonts w:hint="eastAsia" w:ascii="宋体" w:hAnsi="宋体" w:eastAsia="宋体" w:cs="宋体"/>
        </w:rPr>
      </w:pPr>
      <w:bookmarkStart w:id="42" w:name="_Toc513029209"/>
      <w:bookmarkStart w:id="43" w:name="_Toc20823281"/>
      <w:bookmarkStart w:id="44" w:name="_Toc120614215"/>
      <w:bookmarkStart w:id="45" w:name="_Toc16938525"/>
      <w:r>
        <w:rPr>
          <w:rFonts w:hint="eastAsia" w:ascii="宋体" w:hAnsi="宋体" w:eastAsia="宋体" w:cs="宋体"/>
          <w:b/>
          <w:color w:val="000000"/>
        </w:rPr>
        <w:t>二、</w:t>
      </w:r>
      <w:bookmarkEnd w:id="42"/>
      <w:bookmarkEnd w:id="43"/>
      <w:bookmarkEnd w:id="44"/>
      <w:bookmarkEnd w:id="45"/>
      <w:r>
        <w:rPr>
          <w:rFonts w:hint="eastAsia" w:ascii="宋体" w:hAnsi="宋体" w:eastAsia="宋体" w:cs="宋体"/>
          <w:b/>
          <w:color w:val="000000"/>
        </w:rPr>
        <w:t>采购文件</w:t>
      </w:r>
    </w:p>
    <w:p w14:paraId="15489275">
      <w:pPr>
        <w:pStyle w:val="9"/>
        <w:keepNext/>
        <w:keepLines/>
        <w:spacing w:beforeAutospacing="0" w:afterAutospacing="0" w:line="480" w:lineRule="exact"/>
        <w:ind w:firstLine="420"/>
        <w:jc w:val="both"/>
        <w:rPr>
          <w:rFonts w:hint="eastAsia" w:ascii="宋体" w:hAnsi="宋体" w:eastAsia="宋体" w:cs="宋体"/>
        </w:rPr>
      </w:pPr>
      <w:bookmarkStart w:id="46" w:name="_Toc513029210"/>
      <w:bookmarkStart w:id="47" w:name="_Toc16938526"/>
      <w:bookmarkStart w:id="48" w:name="_Toc20823282"/>
      <w:r>
        <w:rPr>
          <w:rFonts w:hint="eastAsia" w:ascii="宋体" w:hAnsi="宋体" w:eastAsia="宋体" w:cs="宋体"/>
          <w:color w:val="000000"/>
        </w:rPr>
        <w:t>6、采购文件构成</w:t>
      </w:r>
      <w:bookmarkEnd w:id="46"/>
      <w:bookmarkEnd w:id="47"/>
      <w:bookmarkEnd w:id="48"/>
    </w:p>
    <w:p w14:paraId="1C27565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6.1采购文件由以下部分组成：</w:t>
      </w:r>
    </w:p>
    <w:p w14:paraId="2C2723AA">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color w:val="000000"/>
        </w:rPr>
        <w:t>（1）单一来源采购邀请</w:t>
      </w:r>
    </w:p>
    <w:p w14:paraId="748FFA1C">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color w:val="000000"/>
        </w:rPr>
        <w:t>（2）供应商须知</w:t>
      </w:r>
    </w:p>
    <w:p w14:paraId="527AFDB4">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color w:val="000000"/>
        </w:rPr>
        <w:t>（3）合同文本</w:t>
      </w:r>
    </w:p>
    <w:p w14:paraId="5363D435">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color w:val="000000"/>
        </w:rPr>
        <w:t>（4）采购需求</w:t>
      </w:r>
    </w:p>
    <w:p w14:paraId="37D0CBB9">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color w:val="000000"/>
        </w:rPr>
        <w:t>（6）响应文件格式</w:t>
      </w:r>
    </w:p>
    <w:p w14:paraId="60244335">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请仔细检查采购文件是否齐全，如有缺漏请立即与采购人或招标代理联系解决。</w:t>
      </w:r>
    </w:p>
    <w:p w14:paraId="6A3341A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4B69EDF2">
      <w:pPr>
        <w:pStyle w:val="9"/>
        <w:keepNext/>
        <w:keepLines/>
        <w:spacing w:beforeAutospacing="0" w:afterAutospacing="0" w:line="480" w:lineRule="exact"/>
        <w:ind w:firstLine="560"/>
        <w:jc w:val="both"/>
        <w:rPr>
          <w:rFonts w:hint="eastAsia" w:ascii="宋体" w:hAnsi="宋体" w:eastAsia="宋体" w:cs="宋体"/>
        </w:rPr>
      </w:pPr>
      <w:bookmarkStart w:id="49" w:name="_Toc20823283"/>
      <w:bookmarkStart w:id="50" w:name="_Toc462564070"/>
      <w:bookmarkStart w:id="51" w:name="_Toc513029211"/>
      <w:bookmarkStart w:id="52" w:name="_Toc16938527"/>
      <w:r>
        <w:rPr>
          <w:rFonts w:hint="eastAsia" w:ascii="宋体" w:hAnsi="宋体" w:eastAsia="宋体" w:cs="宋体"/>
          <w:color w:val="000000"/>
        </w:rPr>
        <w:t>7、采购文件的澄清</w:t>
      </w:r>
      <w:bookmarkEnd w:id="49"/>
      <w:bookmarkEnd w:id="50"/>
      <w:bookmarkEnd w:id="51"/>
      <w:bookmarkEnd w:id="52"/>
    </w:p>
    <w:p w14:paraId="39DA2DB0">
      <w:pPr>
        <w:pStyle w:val="9"/>
        <w:spacing w:beforeAutospacing="0" w:afterAutospacing="0" w:line="480" w:lineRule="exact"/>
        <w:ind w:firstLine="480"/>
        <w:jc w:val="both"/>
        <w:rPr>
          <w:rFonts w:hint="eastAsia" w:ascii="宋体" w:hAnsi="宋体" w:eastAsia="宋体" w:cs="宋体"/>
        </w:rPr>
      </w:pPr>
      <w:bookmarkStart w:id="53" w:name="_Toc20823284"/>
      <w:bookmarkStart w:id="54" w:name="_Toc462564071"/>
      <w:bookmarkStart w:id="55" w:name="_Toc16938528"/>
      <w:bookmarkStart w:id="56" w:name="_Toc513029212"/>
      <w:r>
        <w:rPr>
          <w:rFonts w:hint="eastAsia" w:ascii="宋体" w:hAnsi="宋体" w:eastAsia="宋体" w:cs="宋体"/>
        </w:rPr>
        <w:t>7.1 供应商如果要求对采购文件进行澄清的，应在响应文件接收截止时间（以下简称“截止时间”）</w:t>
      </w:r>
      <w:r>
        <w:rPr>
          <w:rFonts w:hint="eastAsia" w:ascii="宋体" w:hAnsi="宋体" w:eastAsia="宋体" w:cs="宋体"/>
          <w:b/>
        </w:rPr>
        <w:t>三天</w:t>
      </w:r>
      <w:r>
        <w:rPr>
          <w:rFonts w:hint="eastAsia" w:ascii="宋体" w:hAnsi="宋体" w:eastAsia="宋体" w:cs="宋体"/>
        </w:rPr>
        <w:t>前，在苏采云系统中通知采购人</w:t>
      </w:r>
      <w:r>
        <w:rPr>
          <w:rFonts w:hint="eastAsia" w:ascii="宋体" w:hAnsi="宋体" w:eastAsia="宋体" w:cs="宋体"/>
          <w:color w:val="000000"/>
        </w:rPr>
        <w:t>或招标代理</w:t>
      </w:r>
      <w:r>
        <w:rPr>
          <w:rFonts w:hint="eastAsia" w:ascii="宋体" w:hAnsi="宋体" w:eastAsia="宋体" w:cs="宋体"/>
        </w:rPr>
        <w:t>。采购人</w:t>
      </w:r>
      <w:r>
        <w:rPr>
          <w:rFonts w:hint="eastAsia" w:ascii="宋体" w:hAnsi="宋体" w:eastAsia="宋体" w:cs="宋体"/>
          <w:color w:val="000000"/>
        </w:rPr>
        <w:t>或招标代理</w:t>
      </w:r>
      <w:r>
        <w:rPr>
          <w:rFonts w:hint="eastAsia" w:ascii="宋体" w:hAnsi="宋体" w:eastAsia="宋体" w:cs="宋体"/>
        </w:rPr>
        <w:t>将在苏采云系统中对澄清要求予以答复。</w:t>
      </w:r>
      <w:bookmarkEnd w:id="53"/>
      <w:bookmarkEnd w:id="54"/>
      <w:bookmarkEnd w:id="55"/>
      <w:bookmarkEnd w:id="56"/>
    </w:p>
    <w:p w14:paraId="02178B70">
      <w:pPr>
        <w:pStyle w:val="9"/>
        <w:keepNext/>
        <w:keepLines/>
        <w:spacing w:beforeAutospacing="0" w:afterAutospacing="0" w:line="480" w:lineRule="exact"/>
        <w:ind w:firstLine="560"/>
        <w:jc w:val="both"/>
        <w:rPr>
          <w:rFonts w:hint="eastAsia" w:ascii="宋体" w:hAnsi="宋体" w:eastAsia="宋体" w:cs="宋体"/>
        </w:rPr>
      </w:pPr>
      <w:bookmarkStart w:id="57" w:name="_Toc20823285"/>
      <w:bookmarkStart w:id="58" w:name="_Toc513029213"/>
      <w:bookmarkStart w:id="59" w:name="_Toc16938529"/>
      <w:bookmarkStart w:id="60" w:name="_Toc462564072"/>
      <w:bookmarkStart w:id="61" w:name="_Toc120614216"/>
      <w:r>
        <w:rPr>
          <w:rFonts w:hint="eastAsia" w:ascii="宋体" w:hAnsi="宋体" w:eastAsia="宋体" w:cs="宋体"/>
        </w:rPr>
        <w:t>8、采购文件的修改</w:t>
      </w:r>
      <w:bookmarkEnd w:id="57"/>
      <w:bookmarkEnd w:id="58"/>
      <w:bookmarkEnd w:id="59"/>
      <w:bookmarkEnd w:id="60"/>
      <w:bookmarkEnd w:id="61"/>
    </w:p>
    <w:p w14:paraId="5C4CFAA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8.1 在截止时间前，采购人可以以补充文件的方式对采购文件进行修改。</w:t>
      </w:r>
    </w:p>
    <w:p w14:paraId="10382CD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8.2采购人有权按照政府采购的有关要求推迟截止时间。</w:t>
      </w:r>
    </w:p>
    <w:p w14:paraId="561CF49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8.3采购文件的补充文件将作为采购文件的组成部分，并对供应商具有约束力。</w:t>
      </w:r>
    </w:p>
    <w:p w14:paraId="2FE13A4D">
      <w:pPr>
        <w:pStyle w:val="9"/>
        <w:keepNext/>
        <w:keepLines/>
        <w:spacing w:before="145" w:beforeAutospacing="0" w:after="145" w:afterAutospacing="0" w:line="480" w:lineRule="exact"/>
        <w:ind w:firstLine="482"/>
        <w:jc w:val="both"/>
        <w:rPr>
          <w:rFonts w:hint="eastAsia" w:ascii="宋体" w:hAnsi="宋体" w:eastAsia="宋体" w:cs="宋体"/>
        </w:rPr>
      </w:pPr>
      <w:r>
        <w:rPr>
          <w:rFonts w:hint="eastAsia" w:ascii="宋体" w:hAnsi="宋体" w:eastAsia="宋体" w:cs="宋体"/>
          <w:b/>
        </w:rPr>
        <w:t>三、响应文件的编制</w:t>
      </w:r>
    </w:p>
    <w:p w14:paraId="6E865AD6">
      <w:pPr>
        <w:pStyle w:val="9"/>
        <w:keepNext/>
        <w:keepLines/>
        <w:spacing w:beforeAutospacing="0" w:afterAutospacing="0" w:line="480" w:lineRule="exact"/>
        <w:ind w:firstLine="560"/>
        <w:jc w:val="both"/>
        <w:rPr>
          <w:rFonts w:hint="eastAsia" w:ascii="宋体" w:hAnsi="宋体" w:eastAsia="宋体" w:cs="宋体"/>
        </w:rPr>
      </w:pPr>
      <w:bookmarkStart w:id="62" w:name="_Toc16938530"/>
      <w:bookmarkStart w:id="63" w:name="_Toc462564073"/>
      <w:bookmarkStart w:id="64" w:name="_Toc513029214"/>
      <w:bookmarkStart w:id="65" w:name="_Toc20823286"/>
      <w:r>
        <w:rPr>
          <w:rFonts w:hint="eastAsia" w:ascii="宋体" w:hAnsi="宋体" w:eastAsia="宋体" w:cs="宋体"/>
          <w:color w:val="000000"/>
        </w:rPr>
        <w:t>9、响应文件的语言及度量衡单位</w:t>
      </w:r>
      <w:bookmarkEnd w:id="62"/>
      <w:bookmarkEnd w:id="63"/>
      <w:bookmarkEnd w:id="64"/>
      <w:bookmarkEnd w:id="65"/>
    </w:p>
    <w:p w14:paraId="3357ACC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9.1供应商提交的响应文件以及供应商与采购人</w:t>
      </w:r>
      <w:r>
        <w:rPr>
          <w:rFonts w:hint="eastAsia" w:ascii="宋体" w:hAnsi="宋体" w:eastAsia="宋体" w:cs="宋体"/>
        </w:rPr>
        <w:t>就有关采购活动的所有来往通知、函件和文件均应使用</w:t>
      </w:r>
      <w:r>
        <w:rPr>
          <w:rFonts w:hint="eastAsia" w:ascii="宋体" w:hAnsi="宋体" w:eastAsia="宋体" w:cs="宋体"/>
          <w:b/>
        </w:rPr>
        <w:t>简体中文</w:t>
      </w:r>
      <w:r>
        <w:rPr>
          <w:rFonts w:hint="eastAsia" w:ascii="宋体" w:hAnsi="宋体" w:eastAsia="宋体" w:cs="宋体"/>
        </w:rPr>
        <w:t>。</w:t>
      </w:r>
    </w:p>
    <w:p w14:paraId="458CB4B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9.2 除技术性能另有规定外，响应文件所使用的度量衡单位，均须采用国家法定计量单位。</w:t>
      </w:r>
    </w:p>
    <w:p w14:paraId="41FCFF69">
      <w:pPr>
        <w:pStyle w:val="9"/>
        <w:keepNext/>
        <w:keepLines/>
        <w:spacing w:beforeAutospacing="0" w:afterAutospacing="0" w:line="480" w:lineRule="exact"/>
        <w:ind w:firstLine="420"/>
        <w:jc w:val="both"/>
        <w:rPr>
          <w:rFonts w:hint="eastAsia" w:ascii="宋体" w:hAnsi="宋体" w:eastAsia="宋体" w:cs="宋体"/>
        </w:rPr>
      </w:pPr>
      <w:bookmarkStart w:id="66" w:name="_Toc20823287"/>
      <w:bookmarkStart w:id="67" w:name="_Toc16938531"/>
      <w:bookmarkStart w:id="68" w:name="_Toc462564074"/>
      <w:bookmarkStart w:id="69" w:name="_Toc513029215"/>
      <w:r>
        <w:rPr>
          <w:rFonts w:hint="eastAsia" w:ascii="宋体" w:hAnsi="宋体" w:eastAsia="宋体" w:cs="宋体"/>
        </w:rPr>
        <w:t>10、响应文件构成</w:t>
      </w:r>
      <w:bookmarkEnd w:id="66"/>
      <w:bookmarkEnd w:id="67"/>
      <w:bookmarkEnd w:id="68"/>
      <w:bookmarkEnd w:id="69"/>
    </w:p>
    <w:p w14:paraId="21DF2475">
      <w:pPr>
        <w:pStyle w:val="9"/>
        <w:spacing w:beforeAutospacing="0" w:afterAutospacing="0" w:line="480" w:lineRule="exact"/>
        <w:ind w:firstLine="480"/>
        <w:jc w:val="both"/>
        <w:rPr>
          <w:rFonts w:hint="eastAsia" w:ascii="宋体" w:hAnsi="宋体" w:eastAsia="宋体" w:cs="宋体"/>
        </w:rPr>
      </w:pPr>
      <w:bookmarkStart w:id="70" w:name="_Toc49090507"/>
      <w:bookmarkStart w:id="71" w:name="_Toc49090508"/>
      <w:bookmarkStart w:id="72" w:name="_Toc14577355"/>
      <w:bookmarkStart w:id="73" w:name="_Toc14577354"/>
      <w:bookmarkStart w:id="74" w:name="_Toc14577357"/>
      <w:bookmarkStart w:id="75" w:name="_Toc513029216"/>
      <w:bookmarkStart w:id="76" w:name="_Toc513029219"/>
      <w:bookmarkStart w:id="77" w:name="_Toc49090509"/>
      <w:bookmarkStart w:id="78" w:name="_Hlt26668975"/>
      <w:bookmarkStart w:id="79" w:name="_Hlt26670360"/>
      <w:bookmarkStart w:id="80" w:name="_Hlt26954838"/>
      <w:r>
        <w:rPr>
          <w:rFonts w:hint="eastAsia" w:ascii="宋体" w:hAnsi="宋体" w:eastAsia="宋体" w:cs="宋体"/>
        </w:rPr>
        <w:t>10.1 供应商编写的响应文件应包括资格证明文件、符合性证明文件、分项报价表、技术要求响应及偏离表、商务要求响应及偏离表、其他证明文件、单一来源响应函等部分。</w:t>
      </w:r>
      <w:bookmarkEnd w:id="70"/>
      <w:bookmarkEnd w:id="71"/>
      <w:bookmarkEnd w:id="72"/>
      <w:bookmarkEnd w:id="73"/>
      <w:bookmarkEnd w:id="74"/>
      <w:bookmarkEnd w:id="75"/>
      <w:bookmarkEnd w:id="76"/>
      <w:bookmarkEnd w:id="77"/>
    </w:p>
    <w:p w14:paraId="088650A8">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11、证明供应商及响应标的符合采购文件规定的文件</w:t>
      </w:r>
    </w:p>
    <w:p w14:paraId="23D100B2">
      <w:pPr>
        <w:pStyle w:val="9"/>
        <w:spacing w:beforeAutospacing="0" w:afterAutospacing="0" w:line="480" w:lineRule="exact"/>
        <w:jc w:val="both"/>
        <w:rPr>
          <w:rFonts w:hint="eastAsia" w:ascii="宋体" w:hAnsi="宋体" w:eastAsia="宋体" w:cs="宋体"/>
        </w:rPr>
      </w:pPr>
      <w:r>
        <w:rPr>
          <w:rFonts w:hint="eastAsia" w:ascii="宋体" w:hAnsi="宋体" w:eastAsia="宋体" w:cs="宋体"/>
        </w:rPr>
        <w:t>   11.1 供应商应按照法律、法规、规章和规范性文件以及采购文件要求提交证明文件，证明其及响应标的符合采购文件规定。</w:t>
      </w:r>
    </w:p>
    <w:p w14:paraId="241460F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11.2采购文件对证明文件无明确形式要求的，证明文件可以以文字资料、图纸和数据等形式提交。</w:t>
      </w:r>
    </w:p>
    <w:p w14:paraId="3CD8B554">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12、分项报价表</w:t>
      </w:r>
    </w:p>
    <w:p w14:paraId="60B129EF">
      <w:pPr>
        <w:pStyle w:val="9"/>
        <w:spacing w:beforeAutospacing="0" w:afterAutospacing="0" w:line="480" w:lineRule="exact"/>
        <w:ind w:firstLine="480"/>
        <w:jc w:val="both"/>
        <w:rPr>
          <w:rFonts w:hint="eastAsia" w:ascii="宋体" w:hAnsi="宋体" w:eastAsia="宋体" w:cs="宋体"/>
        </w:rPr>
      </w:pPr>
      <w:bookmarkStart w:id="81" w:name="_Hlt26954848"/>
      <w:bookmarkStart w:id="82" w:name="_Hlt26954846"/>
      <w:bookmarkStart w:id="83" w:name="_Hlt26670482"/>
      <w:bookmarkStart w:id="84" w:name="_Hlt26954731"/>
      <w:bookmarkStart w:id="85" w:name="_Hlt26670486"/>
      <w:r>
        <w:rPr>
          <w:rFonts w:hint="eastAsia" w:ascii="宋体" w:hAnsi="宋体" w:eastAsia="宋体" w:cs="宋体"/>
        </w:rPr>
        <w:t>12.1 供应商应按照采购文件规定格式填报分项报价表。</w:t>
      </w:r>
    </w:p>
    <w:p w14:paraId="07A2AE8A">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12.2报价货币。响应文件中的单价和总价无特殊规定的采用人民币报价，以元为单位标注。采购文件中另有规定的按规定执行。</w:t>
      </w:r>
    </w:p>
    <w:p w14:paraId="070E8927">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13、技术要求响应及偏离表、商务要求响应及偏离表</w:t>
      </w:r>
    </w:p>
    <w:p w14:paraId="53B0464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13.1供应商需对采购文件中的技术要求与商务要求逐项作出响应或偏离，并说明原因。</w:t>
      </w:r>
    </w:p>
    <w:p w14:paraId="2C85ED76">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13.2供应商可在响应文件中提供认为需要的其他技术文件或说明。</w:t>
      </w:r>
    </w:p>
    <w:p w14:paraId="28F39A84">
      <w:pPr>
        <w:pStyle w:val="9"/>
        <w:keepNext/>
        <w:keepLines/>
        <w:spacing w:beforeAutospacing="0" w:afterAutospacing="0" w:line="480" w:lineRule="exact"/>
        <w:ind w:firstLine="420"/>
        <w:jc w:val="both"/>
        <w:rPr>
          <w:rFonts w:hint="eastAsia" w:ascii="宋体" w:hAnsi="宋体" w:eastAsia="宋体" w:cs="宋体"/>
        </w:rPr>
      </w:pPr>
      <w:bookmarkStart w:id="86" w:name="_Toc14577359"/>
      <w:bookmarkStart w:id="87" w:name="_Toc49090510"/>
      <w:r>
        <w:rPr>
          <w:rFonts w:hint="eastAsia" w:ascii="宋体" w:hAnsi="宋体" w:eastAsia="宋体" w:cs="宋体"/>
        </w:rPr>
        <w:t>14、服务承诺、培训计划、人员安排及其他</w:t>
      </w:r>
      <w:bookmarkEnd w:id="86"/>
      <w:bookmarkEnd w:id="87"/>
    </w:p>
    <w:p w14:paraId="247B7AD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14.1 供应商需根据采购文件要求提供有关售后服务的管理制度，售后服务机构的分布情况，售后服务人员的数量、素质、技术水平及售后服务的反应能力等。</w:t>
      </w:r>
    </w:p>
    <w:p w14:paraId="30246F7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14.2 供应商需根据采购文件要求提供培训计划。</w:t>
      </w:r>
    </w:p>
    <w:p w14:paraId="00D5B8A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14.3 供应商需根据采购文件要求提供所投标的的主要组成部分、功能设计、实现思路及关键技术等。</w:t>
      </w:r>
    </w:p>
    <w:p w14:paraId="221A630C">
      <w:pPr>
        <w:pStyle w:val="9"/>
        <w:keepNext/>
        <w:keepLines/>
        <w:spacing w:beforeAutospacing="0" w:afterAutospacing="0" w:line="480" w:lineRule="exact"/>
        <w:ind w:firstLine="420"/>
        <w:jc w:val="both"/>
        <w:rPr>
          <w:rFonts w:hint="eastAsia" w:ascii="宋体" w:hAnsi="宋体" w:eastAsia="宋体" w:cs="宋体"/>
        </w:rPr>
      </w:pPr>
      <w:bookmarkStart w:id="88" w:name="_Toc14577360"/>
      <w:bookmarkStart w:id="89" w:name="_Toc49090511"/>
      <w:r>
        <w:rPr>
          <w:rFonts w:hint="eastAsia" w:ascii="宋体" w:hAnsi="宋体" w:eastAsia="宋体" w:cs="宋体"/>
        </w:rPr>
        <w:t>15、单一来源响应函</w:t>
      </w:r>
      <w:bookmarkEnd w:id="88"/>
      <w:bookmarkEnd w:id="89"/>
    </w:p>
    <w:p w14:paraId="69567E8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15.1 供应商应按照采购文件中提供的格式完整、正确填写单一来源响应函。</w:t>
      </w:r>
    </w:p>
    <w:p w14:paraId="3641DF99">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16、单一来源采购有效期</w:t>
      </w:r>
    </w:p>
    <w:p w14:paraId="182BAFD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16.1 单一来源采购有效期（以下简称“有效期”）为采购人规定的响应文件接收截止之日后</w:t>
      </w:r>
      <w:r>
        <w:rPr>
          <w:rFonts w:hint="eastAsia" w:ascii="宋体" w:hAnsi="宋体" w:eastAsia="宋体" w:cs="宋体"/>
          <w:b/>
          <w:u w:val="single"/>
        </w:rPr>
        <w:t>三十（30）天</w:t>
      </w:r>
      <w:r>
        <w:rPr>
          <w:rFonts w:hint="eastAsia" w:ascii="宋体" w:hAnsi="宋体" w:eastAsia="宋体" w:cs="宋体"/>
        </w:rPr>
        <w:t>。有效期比规定期限短的将被视为未响应采购文件要求而予以拒绝。</w:t>
      </w:r>
    </w:p>
    <w:p w14:paraId="5F04F0D1">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17、有效期的延长</w:t>
      </w:r>
    </w:p>
    <w:p w14:paraId="5B97607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p>
    <w:p w14:paraId="595D57BA">
      <w:pPr>
        <w:pStyle w:val="9"/>
        <w:keepNext/>
        <w:keepLines/>
        <w:spacing w:before="145" w:beforeAutospacing="0" w:after="145" w:afterAutospacing="0" w:line="480" w:lineRule="exact"/>
        <w:ind w:firstLine="482"/>
        <w:jc w:val="both"/>
        <w:rPr>
          <w:rFonts w:hint="eastAsia" w:ascii="宋体" w:hAnsi="宋体" w:eastAsia="宋体" w:cs="宋体"/>
        </w:rPr>
      </w:pPr>
      <w:bookmarkStart w:id="90" w:name="_Toc20823296"/>
      <w:bookmarkStart w:id="91" w:name="_Toc513029224"/>
      <w:bookmarkStart w:id="92" w:name="_Toc16938540"/>
      <w:bookmarkStart w:id="93" w:name="_Toc120614217"/>
      <w:bookmarkStart w:id="94" w:name="_Hlt26954852"/>
      <w:bookmarkStart w:id="95" w:name="_Hlt26954739"/>
      <w:r>
        <w:rPr>
          <w:rFonts w:hint="eastAsia" w:ascii="宋体" w:hAnsi="宋体" w:eastAsia="宋体" w:cs="宋体"/>
          <w:b/>
          <w:color w:val="000000"/>
        </w:rPr>
        <w:t>四、响应文件的递交</w:t>
      </w:r>
      <w:bookmarkEnd w:id="90"/>
      <w:bookmarkEnd w:id="91"/>
      <w:bookmarkEnd w:id="92"/>
      <w:bookmarkEnd w:id="93"/>
    </w:p>
    <w:p w14:paraId="6CFB5CE0">
      <w:pPr>
        <w:pStyle w:val="9"/>
        <w:keepNext/>
        <w:keepLines/>
        <w:spacing w:beforeAutospacing="0" w:afterAutospacing="0" w:line="480" w:lineRule="exact"/>
        <w:ind w:firstLine="560"/>
        <w:jc w:val="both"/>
        <w:rPr>
          <w:rFonts w:hint="eastAsia" w:ascii="宋体" w:hAnsi="宋体" w:eastAsia="宋体" w:cs="宋体"/>
        </w:rPr>
      </w:pPr>
      <w:bookmarkStart w:id="96" w:name="_Toc16938541"/>
      <w:bookmarkStart w:id="97" w:name="_Toc462564084"/>
      <w:bookmarkStart w:id="98" w:name="_Toc20823297"/>
      <w:bookmarkStart w:id="99" w:name="_Toc513029225"/>
      <w:r>
        <w:rPr>
          <w:rFonts w:hint="eastAsia" w:ascii="宋体" w:hAnsi="宋体" w:eastAsia="宋体" w:cs="宋体"/>
          <w:color w:val="000000"/>
        </w:rPr>
        <w:t>18、电子</w:t>
      </w:r>
      <w:bookmarkEnd w:id="96"/>
      <w:bookmarkEnd w:id="97"/>
      <w:bookmarkEnd w:id="98"/>
      <w:bookmarkEnd w:id="99"/>
      <w:r>
        <w:rPr>
          <w:rFonts w:hint="eastAsia" w:ascii="宋体" w:hAnsi="宋体" w:eastAsia="宋体" w:cs="宋体"/>
          <w:color w:val="000000"/>
        </w:rPr>
        <w:t>响应文件的递交</w:t>
      </w:r>
    </w:p>
    <w:p w14:paraId="0226E335">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18.1供应商应当按照《操作手册》规定，在截止时间前制作并上传电子响应文件。</w:t>
      </w:r>
      <w:bookmarkStart w:id="100" w:name="_Toc16938542"/>
      <w:bookmarkEnd w:id="100"/>
      <w:bookmarkStart w:id="101" w:name="_Toc20823298"/>
      <w:bookmarkEnd w:id="101"/>
      <w:bookmarkStart w:id="102" w:name="_Toc513029226"/>
    </w:p>
    <w:p w14:paraId="28E71609">
      <w:pPr>
        <w:pStyle w:val="9"/>
        <w:keepNext/>
        <w:keepLines/>
        <w:spacing w:before="280" w:beforeAutospacing="0" w:after="290" w:afterAutospacing="0" w:line="480" w:lineRule="exact"/>
        <w:ind w:firstLine="560"/>
        <w:jc w:val="both"/>
        <w:rPr>
          <w:rFonts w:hint="eastAsia" w:ascii="宋体" w:hAnsi="宋体" w:eastAsia="宋体" w:cs="宋体"/>
        </w:rPr>
      </w:pPr>
      <w:r>
        <w:rPr>
          <w:rFonts w:hint="eastAsia" w:ascii="宋体" w:hAnsi="宋体" w:eastAsia="宋体" w:cs="宋体"/>
          <w:color w:val="000000"/>
        </w:rPr>
        <w:t>19、提交响应文件截止时间</w:t>
      </w:r>
    </w:p>
    <w:p w14:paraId="4445307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i/>
          <w:color w:val="000000"/>
          <w:u w:val="single"/>
        </w:rPr>
        <w:t>19.1供应商上传电子响应文件的时间不得迟于单一来源采购邀请中规定的截止时间。</w:t>
      </w:r>
    </w:p>
    <w:p w14:paraId="2D600903">
      <w:pPr>
        <w:pStyle w:val="9"/>
        <w:spacing w:beforeAutospacing="0" w:afterAutospacing="0" w:line="480" w:lineRule="exact"/>
        <w:ind w:firstLine="480"/>
        <w:jc w:val="both"/>
        <w:rPr>
          <w:rFonts w:hint="eastAsia" w:ascii="宋体" w:hAnsi="宋体" w:eastAsia="宋体" w:cs="宋体"/>
        </w:rPr>
      </w:pPr>
      <w:bookmarkStart w:id="103" w:name="_Toc16938543"/>
      <w:bookmarkStart w:id="104" w:name="_Toc513029227"/>
      <w:bookmarkStart w:id="105" w:name="_Toc20823299"/>
      <w:r>
        <w:rPr>
          <w:rFonts w:hint="eastAsia" w:ascii="宋体" w:hAnsi="宋体" w:eastAsia="宋体" w:cs="宋体"/>
          <w:color w:val="000000"/>
        </w:rPr>
        <w:t>供应商应充分考虑到网络环境、网络带宽等风险因素，如因供应商自身原因造成的电子响应文件上传不成功由供应商自行承担全部责任。</w:t>
      </w:r>
      <w:bookmarkEnd w:id="103"/>
      <w:bookmarkEnd w:id="104"/>
      <w:bookmarkEnd w:id="105"/>
    </w:p>
    <w:p w14:paraId="5846872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19.2 采购人可以按照规定，通过修改采购文件酌情延长截止时间，在此情况下，供应商的所有权利和义务以及供应商受制的截止时间以延长后新的截止时间为准。</w:t>
      </w:r>
    </w:p>
    <w:p w14:paraId="24BB3BC2">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color w:val="000000"/>
        </w:rPr>
        <w:t>20、响应文件的拒收</w:t>
      </w:r>
    </w:p>
    <w:p w14:paraId="3DF0467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20.1 采购人拒绝接收在其规定的截止时间后上传的任何电子响应文件。</w:t>
      </w:r>
    </w:p>
    <w:p w14:paraId="45CCE80D">
      <w:pPr>
        <w:pStyle w:val="9"/>
        <w:keepNext/>
        <w:keepLines/>
        <w:spacing w:beforeAutospacing="0" w:afterAutospacing="0" w:line="480" w:lineRule="exact"/>
        <w:ind w:firstLine="420"/>
        <w:jc w:val="both"/>
        <w:rPr>
          <w:rFonts w:hint="eastAsia" w:ascii="宋体" w:hAnsi="宋体" w:eastAsia="宋体" w:cs="宋体"/>
        </w:rPr>
      </w:pPr>
      <w:bookmarkStart w:id="106" w:name="_Toc513029228"/>
      <w:bookmarkStart w:id="107" w:name="_Toc16938544"/>
      <w:bookmarkStart w:id="108" w:name="_Toc20823300"/>
      <w:r>
        <w:rPr>
          <w:rFonts w:hint="eastAsia" w:ascii="宋体" w:hAnsi="宋体" w:eastAsia="宋体" w:cs="宋体"/>
          <w:color w:val="000000"/>
        </w:rPr>
        <w:t>21、响应文件的撤回和修改</w:t>
      </w:r>
      <w:bookmarkEnd w:id="106"/>
      <w:bookmarkEnd w:id="107"/>
      <w:bookmarkEnd w:id="108"/>
    </w:p>
    <w:p w14:paraId="60EF0ED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21.1响应文件的撤回</w:t>
      </w:r>
    </w:p>
    <w:p w14:paraId="4E1A33D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21.1.1 电子响应文件的撤回</w:t>
      </w:r>
    </w:p>
    <w:p w14:paraId="5E42923F">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供应商可在截止时间前，撤回其电子响应文件，具体操作方法见《操作手册》。</w:t>
      </w:r>
    </w:p>
    <w:p w14:paraId="3AF1530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21.1.2供应商撤回电子响应文件，则认为其不再参与本项目采购活动。</w:t>
      </w:r>
    </w:p>
    <w:p w14:paraId="570A183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21.2响应文件的修改</w:t>
      </w:r>
    </w:p>
    <w:p w14:paraId="394FE16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供应商可在截止时间前，对其电子响应文件进行修改，具体操作方法见《操作手册》。</w:t>
      </w:r>
    </w:p>
    <w:p w14:paraId="4887FE9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21.3 在截止时间之后，供应商不得对其电子响应文件作任何修改。</w:t>
      </w:r>
    </w:p>
    <w:p w14:paraId="243DF71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21.4 在截止时间至有效期满之间的这段时间内，供应商不得撤回其响应文件。</w:t>
      </w:r>
    </w:p>
    <w:p w14:paraId="783BFA59">
      <w:pPr>
        <w:pStyle w:val="9"/>
        <w:keepNext/>
        <w:keepLines/>
        <w:spacing w:before="145" w:beforeAutospacing="0" w:after="145" w:afterAutospacing="0" w:line="480" w:lineRule="exact"/>
        <w:ind w:firstLine="482"/>
        <w:jc w:val="both"/>
        <w:rPr>
          <w:rFonts w:hint="eastAsia" w:ascii="宋体" w:hAnsi="宋体" w:eastAsia="宋体" w:cs="宋体"/>
        </w:rPr>
      </w:pPr>
      <w:bookmarkStart w:id="109" w:name="_Toc20823301"/>
      <w:bookmarkStart w:id="110" w:name="_Toc513029229"/>
      <w:bookmarkStart w:id="111" w:name="_Toc120614218"/>
      <w:bookmarkStart w:id="112" w:name="_Toc16938545"/>
      <w:r>
        <w:rPr>
          <w:rFonts w:hint="eastAsia" w:ascii="宋体" w:hAnsi="宋体" w:eastAsia="宋体" w:cs="宋体"/>
          <w:b/>
          <w:color w:val="000000"/>
        </w:rPr>
        <w:t>五、响应文件的解密与评审</w:t>
      </w:r>
      <w:bookmarkEnd w:id="109"/>
      <w:bookmarkEnd w:id="110"/>
      <w:bookmarkEnd w:id="111"/>
      <w:bookmarkEnd w:id="112"/>
    </w:p>
    <w:p w14:paraId="30002ADC">
      <w:pPr>
        <w:pStyle w:val="9"/>
        <w:keepNext/>
        <w:keepLines/>
        <w:spacing w:beforeAutospacing="0" w:afterAutospacing="0" w:line="480" w:lineRule="exact"/>
        <w:ind w:firstLine="420"/>
        <w:jc w:val="both"/>
        <w:rPr>
          <w:rFonts w:hint="eastAsia" w:ascii="宋体" w:hAnsi="宋体" w:eastAsia="宋体" w:cs="宋体"/>
        </w:rPr>
      </w:pPr>
      <w:bookmarkStart w:id="113" w:name="_Toc513029230"/>
      <w:bookmarkStart w:id="114" w:name="_Toc16938546"/>
      <w:bookmarkStart w:id="115" w:name="_Toc20823302"/>
      <w:r>
        <w:rPr>
          <w:rFonts w:hint="eastAsia" w:ascii="宋体" w:hAnsi="宋体" w:eastAsia="宋体" w:cs="宋体"/>
          <w:color w:val="000000"/>
        </w:rPr>
        <w:t>22、</w:t>
      </w:r>
      <w:bookmarkEnd w:id="113"/>
      <w:bookmarkEnd w:id="114"/>
      <w:bookmarkEnd w:id="115"/>
      <w:r>
        <w:rPr>
          <w:rFonts w:hint="eastAsia" w:ascii="宋体" w:hAnsi="宋体" w:eastAsia="宋体" w:cs="宋体"/>
          <w:color w:val="000000"/>
        </w:rPr>
        <w:t>响应文件解密</w:t>
      </w:r>
    </w:p>
    <w:p w14:paraId="1178FD96">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rPr>
        <w:t>22.1供应商应当按照《操作手册》规定，在苏采云系统规定的时间内对响应文件进行解密。</w:t>
      </w:r>
    </w:p>
    <w:p w14:paraId="69A517CA">
      <w:pPr>
        <w:pStyle w:val="9"/>
        <w:keepNext/>
        <w:keepLines/>
        <w:spacing w:beforeAutospacing="0" w:afterAutospacing="0" w:line="480" w:lineRule="exact"/>
        <w:ind w:firstLine="420"/>
        <w:jc w:val="both"/>
        <w:rPr>
          <w:rFonts w:hint="eastAsia" w:ascii="宋体" w:hAnsi="宋体" w:eastAsia="宋体" w:cs="宋体"/>
        </w:rPr>
      </w:pPr>
      <w:bookmarkStart w:id="116" w:name="_Toc20823303"/>
      <w:bookmarkStart w:id="117" w:name="_Toc513029231"/>
      <w:bookmarkStart w:id="118" w:name="_Toc16938547"/>
      <w:r>
        <w:rPr>
          <w:rFonts w:hint="eastAsia" w:ascii="宋体" w:hAnsi="宋体" w:eastAsia="宋体" w:cs="宋体"/>
        </w:rPr>
        <w:t>23、单一来源谈判小组</w:t>
      </w:r>
      <w:bookmarkEnd w:id="116"/>
      <w:bookmarkEnd w:id="117"/>
      <w:bookmarkEnd w:id="118"/>
    </w:p>
    <w:p w14:paraId="7D8E9857">
      <w:pPr>
        <w:pStyle w:val="9"/>
        <w:spacing w:beforeAutospacing="0" w:afterAutospacing="0" w:line="48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23.1单一来源谈判小组（以下简称“谈判小组”）由政府采购评审专家、采购人代表组成，且人员构成符合政府采购有关规定。</w:t>
      </w:r>
    </w:p>
    <w:p w14:paraId="62773A63">
      <w:pPr>
        <w:pStyle w:val="9"/>
        <w:spacing w:beforeAutospacing="0" w:afterAutospacing="0" w:line="48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23.2谈判小组应当按照客观、公正、审慎的原则评审供应商的响应文件，并与供应商协商采购标的的价格。</w:t>
      </w:r>
    </w:p>
    <w:p w14:paraId="1307E0AD">
      <w:pPr>
        <w:pStyle w:val="9"/>
        <w:spacing w:beforeAutospacing="0" w:afterAutospacing="0" w:line="480" w:lineRule="exact"/>
        <w:ind w:firstLine="280"/>
        <w:jc w:val="both"/>
        <w:rPr>
          <w:rFonts w:hint="eastAsia" w:ascii="宋体" w:hAnsi="宋体" w:eastAsia="宋体" w:cs="宋体"/>
        </w:rPr>
      </w:pPr>
      <w:r>
        <w:rPr>
          <w:rFonts w:hint="eastAsia" w:ascii="宋体" w:hAnsi="宋体" w:eastAsia="宋体" w:cs="宋体"/>
        </w:rPr>
        <w:t>24、单一来源谈判过程的保密与公正</w:t>
      </w:r>
    </w:p>
    <w:p w14:paraId="3043183A">
      <w:pPr>
        <w:pStyle w:val="9"/>
        <w:spacing w:beforeAutospacing="0" w:afterAutospacing="0" w:line="480" w:lineRule="exact"/>
        <w:ind w:firstLine="480"/>
        <w:jc w:val="both"/>
        <w:rPr>
          <w:rFonts w:hint="eastAsia" w:ascii="宋体" w:hAnsi="宋体" w:eastAsia="宋体" w:cs="宋体"/>
        </w:rPr>
      </w:pPr>
      <w:bookmarkStart w:id="119" w:name="_Toc513029232"/>
      <w:bookmarkStart w:id="120" w:name="_Toc16938548"/>
      <w:bookmarkStart w:id="121" w:name="_Toc20823304"/>
      <w:r>
        <w:rPr>
          <w:rFonts w:hint="eastAsia" w:ascii="宋体" w:hAnsi="宋体" w:eastAsia="宋体" w:cs="宋体"/>
        </w:rPr>
        <w:t>24.1谈判小组、采购人和采购人工作人员、相关监督人员等与评审工作有关的人员，对评审、单一来源谈判情况以及在评审、单一来源谈判过程（以下简称“谈判过程”）中获悉的国家秘密、商业秘密负有保密责任。</w:t>
      </w:r>
      <w:bookmarkEnd w:id="119"/>
      <w:bookmarkEnd w:id="120"/>
      <w:bookmarkEnd w:id="121"/>
    </w:p>
    <w:p w14:paraId="1905389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24.2在谈判过程中，供应商不得以任何行为影响评审及谈判过程，否则将会导致其响应文件被拒绝。</w:t>
      </w:r>
    </w:p>
    <w:p w14:paraId="78580829">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25、评审及谈判过程中的澄清</w:t>
      </w:r>
    </w:p>
    <w:p w14:paraId="643E05E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25.1项目评审及谈判过程中，谈判小组有权要求供应商对响应文件中含义不明确、同类问题表述不一致或者有明显文字和计算错误的内容等作出必要的澄清、说明或者更正。</w:t>
      </w:r>
    </w:p>
    <w:p w14:paraId="3A75563F">
      <w:pPr>
        <w:pStyle w:val="9"/>
        <w:spacing w:beforeAutospacing="0" w:afterAutospacing="0" w:line="480" w:lineRule="exact"/>
        <w:jc w:val="both"/>
        <w:rPr>
          <w:rFonts w:hint="eastAsia" w:ascii="宋体" w:hAnsi="宋体" w:eastAsia="宋体" w:cs="宋体"/>
        </w:rPr>
      </w:pPr>
      <w:r>
        <w:rPr>
          <w:rFonts w:hint="eastAsia" w:ascii="宋体" w:hAnsi="宋体" w:eastAsia="宋体" w:cs="宋体"/>
        </w:rPr>
        <w:t>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27A74DF">
      <w:pPr>
        <w:pStyle w:val="9"/>
        <w:spacing w:beforeAutospacing="0" w:afterAutospacing="0" w:line="480" w:lineRule="exact"/>
        <w:jc w:val="both"/>
        <w:rPr>
          <w:rFonts w:hint="eastAsia" w:ascii="宋体" w:hAnsi="宋体" w:eastAsia="宋体" w:cs="宋体"/>
        </w:rPr>
      </w:pPr>
      <w:r>
        <w:rPr>
          <w:rFonts w:hint="eastAsia" w:ascii="宋体" w:hAnsi="宋体" w:eastAsia="宋体" w:cs="宋体"/>
        </w:rPr>
        <w:t>  25.3 接到谈判小组澄清、说明和更正要求的供应商如未按规定做出澄清、说明和 更正，其风险由供应商自行承担。</w:t>
      </w:r>
    </w:p>
    <w:p w14:paraId="6EE25B83">
      <w:pPr>
        <w:pStyle w:val="9"/>
        <w:keepNext/>
        <w:keepLines/>
        <w:spacing w:beforeAutospacing="0" w:afterAutospacing="0" w:line="480" w:lineRule="exact"/>
        <w:ind w:firstLine="420"/>
        <w:jc w:val="both"/>
        <w:rPr>
          <w:rFonts w:hint="eastAsia" w:ascii="宋体" w:hAnsi="宋体" w:eastAsia="宋体" w:cs="宋体"/>
        </w:rPr>
      </w:pPr>
      <w:bookmarkStart w:id="122" w:name="_Toc513029233"/>
      <w:bookmarkStart w:id="123" w:name="_Toc20823305"/>
      <w:bookmarkStart w:id="124" w:name="_Toc16938549"/>
      <w:r>
        <w:rPr>
          <w:rFonts w:hint="eastAsia" w:ascii="宋体" w:hAnsi="宋体" w:eastAsia="宋体" w:cs="宋体"/>
        </w:rPr>
        <w:t>26、对响应文件的审</w:t>
      </w:r>
      <w:bookmarkEnd w:id="122"/>
      <w:bookmarkEnd w:id="123"/>
      <w:bookmarkEnd w:id="124"/>
      <w:r>
        <w:rPr>
          <w:rFonts w:hint="eastAsia" w:ascii="宋体" w:hAnsi="宋体" w:eastAsia="宋体" w:cs="宋体"/>
        </w:rPr>
        <w:t>查</w:t>
      </w:r>
    </w:p>
    <w:p w14:paraId="7CDD9BE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26.1响应文件审查分为资格审查和符合性审查。</w:t>
      </w:r>
    </w:p>
    <w:p w14:paraId="5CB2318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26.1.1 资格审查：由谈判小组依据法律法规和谈判文件的规定，对响应文件中的资格证明文件进行审查，以确定供应商是否具备参加单一来源谈判的资格。</w:t>
      </w:r>
    </w:p>
    <w:p w14:paraId="3B21D3D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谈判小组在进行资格审查的同时，将在“信用中国”网站（www.creditchina.gov.cn）查询供应商的信用记录，以确定供应商是否具备谈判资格,查询结果留存并归档。</w:t>
      </w:r>
    </w:p>
    <w:p w14:paraId="1BC8BED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7F4F035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26.1.2 符合性审查：依据采购文件的规定，由谈判小组从响应文件的有效性、完整性和对采购文件的响应程度进行审查，以确定是否对谈判文件的实质性要求作出响应。</w:t>
      </w:r>
    </w:p>
    <w:p w14:paraId="15411A3F">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26.1.3 未通过资格审查或符合性审查的供应商，谈判小组将在苏采云系统中告知未通过资格审查或符合性审查的原因，评审结束后，谈判小组将不再告知未通过资格审查或符合性审查的原因。</w:t>
      </w:r>
    </w:p>
    <w:p w14:paraId="7D98A85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26.2在正式进行谈判之前，谈判小组将首先审查每份响应文件是否实质性响应了采购文件的要求。实质性响应的响应文件应该是与采购文件要求的条款、条件和规格相符，没有重大偏离或保留。</w:t>
      </w:r>
    </w:p>
    <w:p w14:paraId="647F206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所谓重大偏离或保留是指与采购文件规定的实质性要求存在负偏离，或者在实质上与采购文件不一致，而且限制了合同中买方和采购人的权利或供应商的义务。重大偏离由谈判小组按照少数服从多数的原则认定。谈判小组决定响应文件的响应性只根据响应文件本身的内容，而不寻求外部的证据。</w:t>
      </w:r>
    </w:p>
    <w:p w14:paraId="7C0B8AC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26.3未实质性响应采购文件的情形</w:t>
      </w:r>
    </w:p>
    <w:p w14:paraId="61D8C3D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26.3.1供应商在苏采云系统规定的时间内未成功解密电子响应文件的。</w:t>
      </w:r>
    </w:p>
    <w:p w14:paraId="53DD381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26.3.2供应商未按照采购文件要求上传电子响应文件的。</w:t>
      </w:r>
    </w:p>
    <w:p w14:paraId="68BE8EC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26.3.3供应商提交两个（含两个）以上不同的响应文件或者最后报价的。</w:t>
      </w:r>
    </w:p>
    <w:p w14:paraId="7178EEEA">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26.3.4供应商不具备采购文件中规定资格要求的。</w:t>
      </w:r>
    </w:p>
    <w:p w14:paraId="477279C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26.3.5供应商的最后报价超过了采购预算。</w:t>
      </w:r>
    </w:p>
    <w:p w14:paraId="0DB76B7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26.3.6不符合采购文件中规定的实质性要求和条件的</w:t>
      </w:r>
      <w:r>
        <w:rPr>
          <w:rFonts w:hint="eastAsia" w:ascii="宋体" w:hAnsi="宋体" w:eastAsia="宋体" w:cs="宋体"/>
          <w:i/>
          <w:u w:val="single"/>
        </w:rPr>
        <w:t>（本采购文件中斜体且有下划线部分为实质性要求和条件）。</w:t>
      </w:r>
    </w:p>
    <w:p w14:paraId="50A189D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31FB5C">
      <w:pPr>
        <w:pStyle w:val="9"/>
        <w:spacing w:beforeAutospacing="0" w:afterAutospacing="0" w:line="480" w:lineRule="exact"/>
        <w:ind w:firstLine="480"/>
        <w:jc w:val="both"/>
      </w:pPr>
      <w:r>
        <w:rPr>
          <w:rFonts w:hint="eastAsia" w:ascii="宋体" w:hAnsi="宋体" w:eastAsia="宋体" w:cs="宋体"/>
        </w:rPr>
        <w:t>26.3.8  响应文件含有采购人不能接受的附加条件的。</w:t>
      </w:r>
    </w:p>
    <w:p w14:paraId="7884D4B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26.3.9供应商不能证明其报价合理性的，协商小组应当将其作为无效</w:t>
      </w:r>
      <w:r>
        <w:rPr>
          <w:rFonts w:hint="eastAsia" w:ascii="宋体" w:hAnsi="宋体" w:eastAsia="宋体" w:cs="宋体"/>
          <w:color w:val="000000"/>
        </w:rPr>
        <w:t>响应</w:t>
      </w:r>
      <w:r>
        <w:rPr>
          <w:rFonts w:hint="eastAsia" w:ascii="宋体" w:hAnsi="宋体" w:eastAsia="宋体" w:cs="宋体"/>
        </w:rPr>
        <w:t>处理。</w:t>
      </w:r>
    </w:p>
    <w:p w14:paraId="1AE201BF">
      <w:pPr>
        <w:pStyle w:val="9"/>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（一）评审过程中出现下列情形之一的，</w:t>
      </w:r>
      <w:r>
        <w:rPr>
          <w:rFonts w:hint="eastAsia" w:ascii="宋体" w:hAnsi="宋体" w:eastAsia="宋体" w:cs="宋体"/>
        </w:rPr>
        <w:t>协商小组</w:t>
      </w:r>
      <w:r>
        <w:rPr>
          <w:rFonts w:hint="eastAsia" w:ascii="宋体" w:hAnsi="宋体" w:eastAsia="宋体" w:cs="宋体"/>
          <w:color w:val="000000"/>
        </w:rPr>
        <w:t>应当启动异常低价响应审查程序：</w:t>
      </w:r>
    </w:p>
    <w:p w14:paraId="6B69C0F2">
      <w:pPr>
        <w:pStyle w:val="9"/>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1.响应报价低于采购项目预算50%的，即响应报价&lt;采购项目预算×50%；</w:t>
      </w:r>
    </w:p>
    <w:p w14:paraId="531BE578">
      <w:pPr>
        <w:pStyle w:val="9"/>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2.响应报价低于采购项目最高限价45%的，即响应报价&lt;采购项目最高限价×45%；</w:t>
      </w:r>
    </w:p>
    <w:p w14:paraId="703F199D">
      <w:pPr>
        <w:pStyle w:val="9"/>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rPr>
        <w:t>协商小组</w:t>
      </w:r>
      <w:r>
        <w:rPr>
          <w:rFonts w:hint="eastAsia" w:ascii="宋体" w:hAnsi="宋体" w:eastAsia="宋体" w:cs="宋体"/>
          <w:color w:val="000000"/>
        </w:rPr>
        <w:t>认定的供应商报价过低、有可能影响产品质量或者不能诚信履约的其他情形。</w:t>
      </w:r>
    </w:p>
    <w:p w14:paraId="3FC680E4">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（二）启动异常低价响应审查后，</w:t>
      </w:r>
      <w:r>
        <w:rPr>
          <w:rFonts w:hint="eastAsia" w:ascii="宋体" w:hAnsi="宋体" w:eastAsia="宋体" w:cs="宋体"/>
        </w:rPr>
        <w:t>协商小组</w:t>
      </w:r>
      <w:r>
        <w:rPr>
          <w:rFonts w:hint="eastAsia" w:ascii="宋体" w:hAnsi="宋体" w:eastAsia="宋体" w:cs="宋体"/>
          <w:color w:val="000000"/>
        </w:rPr>
        <w:t>应当要求相关供应商在评标现场合理的时间内，提供项目具体成本测算等与报价合理性相关的书面说明及相关证明材料，对响应价格作出解释，由</w:t>
      </w:r>
      <w:r>
        <w:rPr>
          <w:rFonts w:hint="eastAsia" w:ascii="宋体" w:hAnsi="宋体" w:eastAsia="宋体" w:cs="宋体"/>
        </w:rPr>
        <w:t>协商小组</w:t>
      </w:r>
      <w:r>
        <w:rPr>
          <w:rFonts w:hint="eastAsia" w:ascii="宋体" w:hAnsi="宋体" w:eastAsia="宋体" w:cs="宋体"/>
          <w:color w:val="000000"/>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rPr>
        <w:t>协商小组</w:t>
      </w:r>
      <w:r>
        <w:rPr>
          <w:rFonts w:hint="eastAsia" w:ascii="宋体" w:hAnsi="宋体" w:eastAsia="宋体" w:cs="宋体"/>
          <w:color w:val="000000"/>
        </w:rPr>
        <w:t>应当将其作为无效响应处理。审查相关情况应当在评审报告中进行记录。</w:t>
      </w:r>
    </w:p>
    <w:p w14:paraId="3D4B713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26.3.10响应文件未按照采购文件要求加盖CA电子公章的。</w:t>
      </w:r>
    </w:p>
    <w:p w14:paraId="1242076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26.4未实质性响应采购文件的响应文件按无效响应处理。</w:t>
      </w:r>
    </w:p>
    <w:p w14:paraId="0A236A9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26.5如果响应文件实质上没有响应采购文件的要求，谈判小组将予以拒绝。</w:t>
      </w:r>
    </w:p>
    <w:p w14:paraId="0BBBF639">
      <w:pPr>
        <w:pStyle w:val="9"/>
        <w:spacing w:beforeAutospacing="0" w:afterAutospacing="0" w:line="480" w:lineRule="exact"/>
        <w:ind w:firstLine="480"/>
        <w:jc w:val="both"/>
        <w:rPr>
          <w:rFonts w:hint="eastAsia" w:ascii="宋体" w:hAnsi="宋体" w:eastAsia="宋体" w:cs="宋体"/>
        </w:rPr>
      </w:pPr>
      <w:bookmarkStart w:id="125" w:name="_Toc20823306"/>
      <w:bookmarkStart w:id="126" w:name="_Toc513029234"/>
      <w:bookmarkStart w:id="127" w:name="_Toc16938550"/>
      <w:r>
        <w:rPr>
          <w:rFonts w:hint="eastAsia" w:ascii="宋体" w:hAnsi="宋体" w:eastAsia="宋体" w:cs="宋体"/>
        </w:rPr>
        <w:t>26.6供应商在项目评审及谈判全过程中应保持通讯畅通，并安排专人与采购人及谈判小组联系。</w:t>
      </w:r>
      <w:bookmarkEnd w:id="125"/>
      <w:bookmarkEnd w:id="126"/>
      <w:bookmarkEnd w:id="127"/>
    </w:p>
    <w:p w14:paraId="44E1AF5D">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27、单一来源谈判及成交原则</w:t>
      </w:r>
    </w:p>
    <w:p w14:paraId="211167A4">
      <w:pPr>
        <w:pStyle w:val="9"/>
        <w:spacing w:beforeAutospacing="0" w:afterAutospacing="0" w:line="480" w:lineRule="exact"/>
        <w:ind w:left="479"/>
        <w:jc w:val="both"/>
        <w:rPr>
          <w:rFonts w:hint="eastAsia" w:ascii="宋体" w:hAnsi="宋体" w:eastAsia="宋体" w:cs="宋体"/>
        </w:rPr>
      </w:pPr>
      <w:r>
        <w:rPr>
          <w:rFonts w:hint="eastAsia" w:ascii="宋体" w:hAnsi="宋体" w:eastAsia="宋体" w:cs="宋体"/>
        </w:rPr>
        <w:t>27.1单一来源谈判</w:t>
      </w:r>
    </w:p>
    <w:p w14:paraId="33C1C4C9">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27.1.1 对于通过资格审查和符合性审查的供应商，谈判小组将通过苏采云系统与其就采购标的的价格、服务等内容进行单一来源谈判。</w:t>
      </w:r>
    </w:p>
    <w:p w14:paraId="2BA7346E">
      <w:pPr>
        <w:pStyle w:val="9"/>
        <w:spacing w:beforeAutospacing="0" w:afterAutospacing="0" w:line="480" w:lineRule="exact"/>
        <w:ind w:firstLine="478"/>
        <w:jc w:val="both"/>
        <w:rPr>
          <w:rFonts w:hint="eastAsia" w:ascii="宋体" w:hAnsi="宋体" w:eastAsia="宋体" w:cs="宋体"/>
        </w:rPr>
      </w:pPr>
      <w:r>
        <w:rPr>
          <w:rFonts w:hint="eastAsia" w:ascii="宋体" w:hAnsi="宋体" w:eastAsia="宋体" w:cs="宋体"/>
        </w:rPr>
        <w:t>27.1.2供应商应当在苏采云系统中以书面形式对谈判过程中做出的承诺与澄清进行确认，并在谈判小组规定的时间内完成最后报价。</w:t>
      </w:r>
    </w:p>
    <w:p w14:paraId="4893188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4E20F891">
      <w:pPr>
        <w:pStyle w:val="9"/>
        <w:spacing w:beforeAutospacing="0" w:afterAutospacing="0" w:line="480" w:lineRule="exact"/>
        <w:ind w:firstLine="360"/>
        <w:jc w:val="both"/>
        <w:rPr>
          <w:rFonts w:hint="eastAsia" w:ascii="宋体" w:hAnsi="宋体" w:eastAsia="宋体" w:cs="宋体"/>
        </w:rPr>
      </w:pPr>
      <w:r>
        <w:rPr>
          <w:rFonts w:hint="eastAsia" w:ascii="宋体" w:hAnsi="宋体" w:eastAsia="宋体" w:cs="宋体"/>
        </w:rPr>
        <w:t>27.2成交原则</w:t>
      </w:r>
    </w:p>
    <w:p w14:paraId="61ECA06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谈判小组根据政府采购相关法律、规章的规定，在供应商的响应情况能保证采购项目质量且最后报价合理的基础上确定其为成交供应商。</w:t>
      </w:r>
    </w:p>
    <w:p w14:paraId="4DD16A9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27.3单一来源谈判终止情形处理</w:t>
      </w:r>
    </w:p>
    <w:p w14:paraId="75F27239">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出现下列情形之一的，采购人将终止采购活动，发布项目终止公告并说明原因，重新开展采购活动：</w:t>
      </w:r>
      <w:r>
        <w:rPr>
          <w:rFonts w:hint="eastAsia" w:ascii="宋体" w:hAnsi="宋体" w:eastAsia="宋体" w:cs="宋体"/>
        </w:rPr>
        <w:br w:type="textWrapping"/>
      </w:r>
      <w:r>
        <w:rPr>
          <w:rFonts w:hint="eastAsia" w:ascii="宋体" w:hAnsi="宋体" w:eastAsia="宋体" w:cs="宋体"/>
        </w:rPr>
        <w:t>  27.3.1 因情况变化，不再符合规定的单一来源采购方式适用情形的；</w:t>
      </w:r>
      <w:r>
        <w:rPr>
          <w:rFonts w:hint="eastAsia" w:ascii="宋体" w:hAnsi="宋体" w:eastAsia="宋体" w:cs="宋体"/>
        </w:rPr>
        <w:br w:type="textWrapping"/>
      </w:r>
      <w:r>
        <w:rPr>
          <w:rFonts w:hint="eastAsia" w:ascii="宋体" w:hAnsi="宋体" w:eastAsia="宋体" w:cs="宋体"/>
        </w:rPr>
        <w:t>  27.3.2 出现影响采购公正的违法、违规行为的；</w:t>
      </w:r>
      <w:r>
        <w:rPr>
          <w:rFonts w:hint="eastAsia" w:ascii="宋体" w:hAnsi="宋体" w:eastAsia="宋体" w:cs="宋体"/>
        </w:rPr>
        <w:br w:type="textWrapping"/>
      </w:r>
      <w:r>
        <w:rPr>
          <w:rFonts w:hint="eastAsia" w:ascii="宋体" w:hAnsi="宋体" w:eastAsia="宋体" w:cs="宋体"/>
        </w:rPr>
        <w:t>  27.3.3供应商最后报价超过采购预算的；</w:t>
      </w:r>
    </w:p>
    <w:p w14:paraId="7114F954">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27.3.4供应商的技术方案、服务承诺、商务条款等不能满足采购人或谈判小组的要求；</w:t>
      </w:r>
    </w:p>
    <w:p w14:paraId="4CADF8D6">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27.3.5 法律、法规、规章规定的其他应当终止的情形。</w:t>
      </w:r>
    </w:p>
    <w:p w14:paraId="4930042E">
      <w:pPr>
        <w:pStyle w:val="9"/>
        <w:keepNext/>
        <w:keepLines/>
        <w:spacing w:before="145" w:beforeAutospacing="0" w:after="145" w:afterAutospacing="0" w:line="480" w:lineRule="exact"/>
        <w:ind w:firstLine="482"/>
        <w:jc w:val="both"/>
        <w:rPr>
          <w:rFonts w:hint="eastAsia" w:ascii="宋体" w:hAnsi="宋体" w:eastAsia="宋体" w:cs="宋体"/>
        </w:rPr>
      </w:pPr>
      <w:r>
        <w:rPr>
          <w:rFonts w:hint="eastAsia" w:ascii="宋体" w:hAnsi="宋体" w:eastAsia="宋体" w:cs="宋体"/>
          <w:b/>
        </w:rPr>
        <w:t>六、成交</w:t>
      </w:r>
    </w:p>
    <w:p w14:paraId="521D3BC4">
      <w:pPr>
        <w:pStyle w:val="9"/>
        <w:keepNext/>
        <w:keepLines/>
        <w:spacing w:beforeAutospacing="0" w:afterAutospacing="0" w:line="480" w:lineRule="exact"/>
        <w:ind w:firstLine="420"/>
        <w:jc w:val="both"/>
        <w:rPr>
          <w:rFonts w:hint="eastAsia" w:ascii="宋体" w:hAnsi="宋体" w:eastAsia="宋体" w:cs="宋体"/>
        </w:rPr>
      </w:pPr>
      <w:r>
        <w:rPr>
          <w:rFonts w:hint="eastAsia" w:ascii="宋体" w:hAnsi="宋体" w:eastAsia="宋体" w:cs="宋体"/>
          <w:color w:val="000000"/>
        </w:rPr>
        <w:t>28、确定成交供应商</w:t>
      </w:r>
    </w:p>
    <w:p w14:paraId="468AACF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28.1谈判小组根据谈判情况编写单一来源评审报告，推荐成交候选供应商。</w:t>
      </w:r>
    </w:p>
    <w:p w14:paraId="511B372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28.2 采购人根据谈判小组推荐的成交候选供应商确定成交供应商。</w:t>
      </w:r>
    </w:p>
    <w:p w14:paraId="1C1EE94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 若有充分证据证明，成交供应商出现下列情况之一的，一经查实，将被取消成交资格：</w:t>
      </w:r>
    </w:p>
    <w:p w14:paraId="68E8C932">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28.3.1提供虚假材料谋取成交的。</w:t>
      </w:r>
    </w:p>
    <w:p w14:paraId="457B730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28.3.2与评审专家、采购人、其他供应商或者采购人工作人员恶意串通的。</w:t>
      </w:r>
    </w:p>
    <w:p w14:paraId="2BF8DB04">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28.3.3向评审专家、采购人或采购人工作人员行贿或者提供其他不正当利益的。</w:t>
      </w:r>
    </w:p>
    <w:p w14:paraId="04F6EB85">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28.3.4恶意竞争，最后报价明显低于其自身合理成本且又无法提供证明的。</w:t>
      </w:r>
    </w:p>
    <w:p w14:paraId="0FB5F03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28.3.5不满足本采购文件规定的实质性要求，但在评审过程中又未被谈判小组发现的。</w:t>
      </w:r>
    </w:p>
    <w:p w14:paraId="51CDFA0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28.3.6成交后无正当理由拒不与采购人签订政府采购合同或者未按照采购文件确定的事项签订政府采购合同的。</w:t>
      </w:r>
    </w:p>
    <w:p w14:paraId="65FCA16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28.3.7将政府采购合同转包的。</w:t>
      </w:r>
    </w:p>
    <w:p w14:paraId="27C99AC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成交供应商被取消成交资格后，采购人有权重新组织采购。</w:t>
      </w:r>
    </w:p>
    <w:p w14:paraId="7C42B4E0">
      <w:pPr>
        <w:pStyle w:val="9"/>
        <w:keepNext/>
        <w:keepLines/>
        <w:spacing w:beforeAutospacing="0" w:afterAutospacing="0" w:line="480" w:lineRule="exact"/>
        <w:ind w:firstLine="600"/>
        <w:jc w:val="both"/>
        <w:rPr>
          <w:rFonts w:hint="eastAsia" w:ascii="宋体" w:hAnsi="宋体" w:eastAsia="宋体" w:cs="宋体"/>
        </w:rPr>
      </w:pPr>
      <w:bookmarkStart w:id="128" w:name="_Toc200451960"/>
      <w:r>
        <w:rPr>
          <w:rFonts w:hint="eastAsia" w:ascii="宋体" w:hAnsi="宋体" w:eastAsia="宋体" w:cs="宋体"/>
          <w:color w:val="000000"/>
        </w:rPr>
        <w:t>29、质疑处理</w:t>
      </w:r>
      <w:bookmarkEnd w:id="128"/>
    </w:p>
    <w:p w14:paraId="2622029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29.1供应商认为采购过程和采购结果使自己的权益受到损害的，可以从采购结果公布之日起七个工作日内，以书面形式向采购人提出质疑。</w:t>
      </w:r>
    </w:p>
    <w:p w14:paraId="01CB2A04">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29.2 供应商应当在法定质疑期内一次性提出针对同一采购程序环节的质疑。供应商如在法定期限内对同一采购程序环节提出多次质疑的，采购人、采购人将只对供应商第一次质疑作出答复。</w:t>
      </w:r>
    </w:p>
    <w:p w14:paraId="6A177AE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29.3质疑函必须按照本采购文件中《质疑函范本》要求的格式和内容进行填写。供应商如组成联合体参加谈判，则《质疑函范本》中要求签字、盖章、加盖公章之处，联合体各方均须按要求签字、盖章、加盖公章。</w:t>
      </w:r>
    </w:p>
    <w:p w14:paraId="21D394AB">
      <w:pPr>
        <w:tabs>
          <w:tab w:val="left" w:pos="1331"/>
        </w:tabs>
        <w:spacing w:line="48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29.4 采购人只接收以纸质原件形式送达的质疑,采购人和采购人不接受未填写快递运单的快件。质疑接收部门为盐城市自然资源和规划局，联系地址：盐城市毓龙东路59号，联系电话：0515-88187119。</w:t>
      </w:r>
    </w:p>
    <w:p w14:paraId="4CFB21F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 以下情形的质疑不予受理</w:t>
      </w:r>
    </w:p>
    <w:p w14:paraId="5951C86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29.5.1 内容不符合《政府采购质疑和投诉办法》第十二条规定的质疑。</w:t>
      </w:r>
    </w:p>
    <w:p w14:paraId="31821DEA">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29.5.2 超出政府采购法定期限的质疑。</w:t>
      </w:r>
    </w:p>
    <w:p w14:paraId="67C2759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29.5.3 以传真、电子邮件等方式递交的非原件形式的质疑。</w:t>
      </w:r>
    </w:p>
    <w:p w14:paraId="2A253A8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29.5.4未参加单一来源采购活动的供应商所提出的质疑。</w:t>
      </w:r>
    </w:p>
    <w:p w14:paraId="71433AB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000000"/>
        </w:rPr>
        <w:t>29.5.5供应商组成联合体参加谈判，联合体中任何一方或多方未按要求签字、盖章、加盖公章的质疑。</w:t>
      </w:r>
    </w:p>
    <w:p w14:paraId="3B313B81">
      <w:pPr>
        <w:pStyle w:val="9"/>
        <w:spacing w:beforeAutospacing="0" w:afterAutospacing="0" w:line="480" w:lineRule="exact"/>
        <w:ind w:firstLine="468"/>
        <w:jc w:val="both"/>
        <w:rPr>
          <w:rFonts w:hint="eastAsia" w:ascii="宋体" w:hAnsi="宋体" w:eastAsia="宋体" w:cs="宋体"/>
        </w:rPr>
      </w:pPr>
      <w:r>
        <w:rPr>
          <w:rFonts w:hint="eastAsia" w:ascii="宋体" w:hAnsi="宋体" w:eastAsia="宋体" w:cs="宋体"/>
          <w:color w:val="000000"/>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AC48B6B">
      <w:pPr>
        <w:pStyle w:val="9"/>
        <w:keepNext/>
        <w:keepLines/>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30、成交通知书</w:t>
      </w:r>
    </w:p>
    <w:p w14:paraId="1125739F">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30.1成交结果确定后，采购人将向成交供应商发出成交通知书。请成交供应商在成交结果公告届满之日起30日内,使用CA数字</w:t>
      </w:r>
      <w:r>
        <w:rPr>
          <w:rFonts w:hint="eastAsia" w:ascii="宋体" w:hAnsi="宋体" w:eastAsia="宋体" w:cs="宋体"/>
        </w:rPr>
        <w:t>证书登录苏采云系统及时下载成交通知书。因系统存储空间有限，自成交结果公告届满之日起30日后，苏采云系统不再保证提供下载成交通知书服务,因未及时下载而造成的不利后果由成交供应商自行承担。</w:t>
      </w:r>
    </w:p>
    <w:p w14:paraId="64D155E1">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4DD87EA4">
      <w:pPr>
        <w:pStyle w:val="9"/>
        <w:keepNext/>
        <w:keepLines/>
        <w:spacing w:before="145" w:beforeAutospacing="0" w:after="145" w:afterAutospacing="0" w:line="480" w:lineRule="exact"/>
        <w:jc w:val="both"/>
        <w:rPr>
          <w:rFonts w:hint="eastAsia" w:ascii="宋体" w:hAnsi="宋体" w:eastAsia="宋体" w:cs="宋体"/>
        </w:rPr>
      </w:pPr>
      <w:bookmarkStart w:id="129" w:name="_Toc20823308"/>
      <w:bookmarkStart w:id="130" w:name="_Toc120614220"/>
      <w:bookmarkStart w:id="131" w:name="_Toc16938552"/>
      <w:bookmarkStart w:id="132" w:name="_Toc513029236"/>
      <w:r>
        <w:rPr>
          <w:rFonts w:hint="eastAsia" w:ascii="宋体" w:hAnsi="宋体" w:eastAsia="宋体" w:cs="宋体"/>
          <w:b/>
        </w:rPr>
        <w:t>七、授予合同</w:t>
      </w:r>
      <w:bookmarkEnd w:id="129"/>
      <w:bookmarkEnd w:id="130"/>
      <w:bookmarkEnd w:id="131"/>
      <w:bookmarkEnd w:id="132"/>
    </w:p>
    <w:p w14:paraId="057F349F">
      <w:pPr>
        <w:pStyle w:val="9"/>
        <w:keepNext/>
        <w:keepLines/>
        <w:spacing w:beforeAutospacing="0" w:afterAutospacing="0" w:line="480" w:lineRule="exact"/>
        <w:ind w:firstLine="600"/>
        <w:jc w:val="both"/>
        <w:rPr>
          <w:rFonts w:hint="eastAsia" w:ascii="宋体" w:hAnsi="宋体" w:eastAsia="宋体" w:cs="宋体"/>
        </w:rPr>
      </w:pPr>
      <w:bookmarkStart w:id="133" w:name="_Toc16938553"/>
      <w:bookmarkStart w:id="134" w:name="_Toc20823309"/>
      <w:bookmarkStart w:id="135" w:name="_Toc513029237"/>
      <w:r>
        <w:rPr>
          <w:rFonts w:hint="eastAsia" w:ascii="宋体" w:hAnsi="宋体" w:eastAsia="宋体" w:cs="宋体"/>
          <w:color w:val="000000"/>
        </w:rPr>
        <w:t>31. 签订合同</w:t>
      </w:r>
      <w:bookmarkEnd w:id="133"/>
      <w:bookmarkEnd w:id="134"/>
      <w:bookmarkEnd w:id="135"/>
    </w:p>
    <w:p w14:paraId="7C125F78">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31.l成交供应商应当在成交通知书发出之日起三十日内，按照采购文件确定的事项与采购人签订政府采购合同。</w:t>
      </w:r>
    </w:p>
    <w:p w14:paraId="67E58922">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31.2采购文件、成交供应商的响应文件及谈判过程中有关澄清、承诺文件均应作为合同附件。</w:t>
      </w:r>
    </w:p>
    <w:p w14:paraId="6BCAD802">
      <w:pPr>
        <w:pStyle w:val="9"/>
        <w:spacing w:beforeAutospacing="0" w:afterAutospacing="0" w:line="480" w:lineRule="exact"/>
        <w:ind w:firstLine="600"/>
        <w:jc w:val="both"/>
        <w:rPr>
          <w:rFonts w:hint="eastAsia" w:ascii="宋体" w:hAnsi="宋体" w:eastAsia="宋体" w:cs="宋体"/>
        </w:rPr>
      </w:pPr>
      <w:r>
        <w:rPr>
          <w:rFonts w:hint="eastAsia" w:ascii="宋体" w:hAnsi="宋体" w:eastAsia="宋体" w:cs="宋体"/>
          <w:color w:val="000000"/>
        </w:rPr>
        <w:t>31.3 签订合同后，</w:t>
      </w:r>
      <w:r>
        <w:rPr>
          <w:rFonts w:hint="eastAsia" w:ascii="宋体" w:hAnsi="宋体" w:eastAsia="宋体" w:cs="宋体"/>
          <w:i/>
          <w:color w:val="000000"/>
          <w:u w:val="single"/>
        </w:rPr>
        <w:t>成交供应商不得将合同标的进行</w:t>
      </w:r>
      <w:r>
        <w:rPr>
          <w:rFonts w:hint="eastAsia" w:ascii="宋体" w:hAnsi="宋体" w:eastAsia="宋体" w:cs="宋体"/>
          <w:i/>
          <w:u w:val="single"/>
        </w:rPr>
        <w:t>转包</w:t>
      </w:r>
      <w:r>
        <w:rPr>
          <w:rFonts w:hint="eastAsia" w:ascii="宋体" w:hAnsi="宋体" w:eastAsia="宋体" w:cs="宋体"/>
        </w:rPr>
        <w:t>。未经采购人同意，成交供应商也不得采用分包形式履行合同,否则采购人有权终止合同。转包或</w:t>
      </w:r>
      <w:r>
        <w:rPr>
          <w:rFonts w:hint="eastAsia" w:ascii="宋体" w:hAnsi="宋体" w:eastAsia="宋体" w:cs="宋体"/>
          <w:color w:val="000000"/>
        </w:rPr>
        <w:t>分包造成采购人损失的，成交供应商应承担相应赔偿责任。</w:t>
      </w:r>
    </w:p>
    <w:p w14:paraId="5FCDABD4">
      <w:pPr>
        <w:pStyle w:val="9"/>
        <w:keepNext/>
        <w:keepLines/>
        <w:spacing w:beforeAutospacing="0" w:afterAutospacing="0" w:line="480" w:lineRule="exact"/>
        <w:ind w:firstLine="600"/>
        <w:jc w:val="both"/>
        <w:rPr>
          <w:rFonts w:hint="eastAsia" w:ascii="宋体" w:hAnsi="宋体" w:eastAsia="宋体" w:cs="宋体"/>
          <w:color w:val="000000"/>
        </w:rPr>
      </w:pPr>
      <w:r>
        <w:rPr>
          <w:rFonts w:hint="eastAsia" w:ascii="宋体" w:hAnsi="宋体" w:eastAsia="宋体" w:cs="宋体"/>
          <w:color w:val="000000"/>
        </w:rPr>
        <w:t>32、标的物的追加</w:t>
      </w:r>
    </w:p>
    <w:p w14:paraId="7045BB74">
      <w:pPr>
        <w:pStyle w:val="9"/>
        <w:spacing w:beforeAutospacing="0" w:afterAutospacing="0" w:line="480" w:lineRule="exact"/>
        <w:ind w:firstLine="480"/>
        <w:jc w:val="both"/>
      </w:pPr>
      <w:r>
        <w:rPr>
          <w:rFonts w:hint="eastAsia" w:ascii="宋体" w:hAnsi="宋体" w:eastAsia="宋体" w:cs="宋体"/>
          <w:color w:val="000000"/>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E35505F">
      <w:pPr>
        <w:pStyle w:val="9"/>
        <w:spacing w:beforeAutospacing="0" w:afterAutospacing="0" w:line="480" w:lineRule="exact"/>
        <w:ind w:left="474"/>
        <w:jc w:val="both"/>
        <w:rPr>
          <w:rFonts w:hint="eastAsia" w:ascii="宋体" w:hAnsi="宋体" w:eastAsia="宋体" w:cs="宋体"/>
        </w:rPr>
      </w:pPr>
      <w:r>
        <w:rPr>
          <w:rFonts w:hint="eastAsia" w:ascii="宋体" w:hAnsi="宋体" w:eastAsia="宋体" w:cs="宋体"/>
        </w:rPr>
        <w:t>33.政府采购政策功能落实</w:t>
      </w:r>
    </w:p>
    <w:p w14:paraId="1E591079">
      <w:pPr>
        <w:pStyle w:val="9"/>
        <w:keepNext/>
        <w:keepLines/>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rPr>
        <w:t>33.1政府采购线上合同信用融资政策</w:t>
      </w:r>
    </w:p>
    <w:p w14:paraId="59D9C221">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1F95378">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33.2进口产品</w:t>
      </w:r>
    </w:p>
    <w:p w14:paraId="2503D02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552C6E">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33.3中小企业、监狱企业及残疾人福利性单位</w:t>
      </w:r>
    </w:p>
    <w:p w14:paraId="44963DA5">
      <w:pPr>
        <w:spacing w:line="480" w:lineRule="exact"/>
        <w:ind w:firstLine="480"/>
        <w:rPr>
          <w:rFonts w:hint="eastAsia" w:ascii="宋体" w:hAnsi="宋体" w:eastAsia="宋体" w:cs="宋体"/>
          <w:sz w:val="24"/>
        </w:rPr>
      </w:pPr>
      <w:r>
        <w:rPr>
          <w:rFonts w:hint="eastAsia" w:ascii="宋体" w:hAnsi="宋体" w:eastAsia="宋体" w:cs="宋体"/>
          <w:sz w:val="24"/>
        </w:rPr>
        <w:t>33.3.1中小企业定义：</w:t>
      </w:r>
    </w:p>
    <w:p w14:paraId="52C7B9EF">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334DB3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2DCBB610">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7B1443CC">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5379EDF5">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07AAABC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398D51C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7D87209F">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FB721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2054BFCA">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6E4E5D48">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4F5D7623">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4F89F49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7A79BA9E">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2AF93736">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5C7D72D">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33.3.7本项目是否专门面向中小企业预留采购份额见第一章《单一来源采购邀请》。</w:t>
      </w:r>
    </w:p>
    <w:p w14:paraId="4E96BAE7">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078D1CCB">
      <w:pPr>
        <w:pStyle w:val="9"/>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4B96484D">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33.4政府采购节能产品、环境标志产品</w:t>
      </w:r>
    </w:p>
    <w:p w14:paraId="5F60806C">
      <w:pPr>
        <w:spacing w:line="480" w:lineRule="exact"/>
        <w:ind w:firstLine="480" w:firstLineChars="200"/>
        <w:rPr>
          <w:rFonts w:hint="eastAsia"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142B8FE5">
      <w:pPr>
        <w:spacing w:line="480" w:lineRule="exact"/>
        <w:ind w:firstLine="480" w:firstLineChars="200"/>
        <w:rPr>
          <w:rFonts w:hint="eastAsia"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63C03CE">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33.5绿色包装</w:t>
      </w:r>
    </w:p>
    <w:p w14:paraId="276AD7D8">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8E7436C">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33.6政府采购创新产品</w:t>
      </w:r>
    </w:p>
    <w:p w14:paraId="6B126AC9">
      <w:pPr>
        <w:pBdr>
          <w:top w:val="none" w:color="000000" w:sz="0" w:space="0"/>
          <w:left w:val="none" w:color="000000" w:sz="0" w:space="0"/>
          <w:bottom w:val="none" w:color="000000" w:sz="0" w:space="0"/>
          <w:right w:val="none" w:color="000000" w:sz="0" w:space="0"/>
        </w:pBdr>
        <w:spacing w:line="480" w:lineRule="exact"/>
        <w:ind w:firstLine="478"/>
        <w:rPr>
          <w:rFonts w:hint="eastAsia" w:ascii="宋体" w:hAnsi="宋体" w:eastAsia="宋体" w:cs="宋体"/>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sz w:val="24"/>
        </w:rPr>
        <w:t>。</w:t>
      </w:r>
    </w:p>
    <w:p w14:paraId="3C979815">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 xml:space="preserve">33.7绿色数据中心政策 </w:t>
      </w:r>
    </w:p>
    <w:p w14:paraId="1EB2293C">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3E4A0D7">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33.8履约保证金政策</w:t>
      </w:r>
    </w:p>
    <w:p w14:paraId="64FB1ADD">
      <w:pPr>
        <w:pStyle w:val="22"/>
        <w:spacing w:after="0" w:line="480" w:lineRule="exact"/>
        <w:ind w:left="0" w:firstLine="560"/>
        <w:rPr>
          <w:rFonts w:hint="eastAsia" w:ascii="宋体" w:hAnsi="宋体" w:eastAsia="宋体" w:cs="宋体"/>
          <w:kern w:val="0"/>
          <w:sz w:val="24"/>
        </w:rPr>
      </w:pPr>
      <w:r>
        <w:rPr>
          <w:rFonts w:hint="eastAsia" w:ascii="宋体" w:hAnsi="宋体" w:eastAsia="宋体" w:cs="宋体"/>
          <w:kern w:val="0"/>
          <w:sz w:val="24"/>
        </w:rPr>
        <w:t>确需收取履约保证金的，履约保证金的缴纳形式：</w:t>
      </w:r>
    </w:p>
    <w:p w14:paraId="10428A6C">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3C5078E">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如以履约保函（保险）形式缴纳履约保证金，供应商可通过政府采购电子履约保函（保险）平台（www.jsdzbh.com）在线申请履约保函（保险）。</w:t>
      </w:r>
    </w:p>
    <w:p w14:paraId="18BFC6E1">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03D559F">
      <w:pPr>
        <w:tabs>
          <w:tab w:val="left" w:pos="1381"/>
        </w:tabs>
        <w:spacing w:line="480" w:lineRule="exact"/>
        <w:ind w:firstLine="482"/>
        <w:rPr>
          <w:rFonts w:hint="eastAsia" w:ascii="宋体" w:hAnsi="宋体" w:eastAsia="宋体" w:cs="宋体"/>
          <w:kern w:val="0"/>
          <w:sz w:val="24"/>
        </w:rPr>
      </w:pPr>
      <w:r>
        <w:rPr>
          <w:rFonts w:hint="eastAsia" w:ascii="宋体" w:hAnsi="宋体" w:eastAsia="宋体" w:cs="宋体"/>
          <w:kern w:val="0"/>
          <w:sz w:val="24"/>
        </w:rPr>
        <w:t>34. 预付款制度</w:t>
      </w:r>
    </w:p>
    <w:p w14:paraId="1C0A6ADD">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本项目落实预付款制度，预付款比例为_</w:t>
      </w:r>
      <w:r>
        <w:rPr>
          <w:rFonts w:hint="eastAsia" w:ascii="宋体" w:hAnsi="宋体" w:eastAsia="宋体" w:cs="宋体"/>
          <w:kern w:val="0"/>
          <w:sz w:val="24"/>
          <w:u w:val="single"/>
        </w:rPr>
        <w:t>30</w:t>
      </w:r>
      <w:r>
        <w:rPr>
          <w:rFonts w:hint="eastAsia" w:ascii="宋体" w:hAnsi="宋体" w:eastAsia="宋体" w:cs="宋体"/>
          <w:kern w:val="0"/>
          <w:sz w:val="24"/>
        </w:rPr>
        <w:t>_%。在签订合同时，中标、成交供应商明确书面表示无需预付款或者主动要求降低预付款比例的，采购人可就预付款比例作相应调整。</w:t>
      </w:r>
      <w:bookmarkStart w:id="136" w:name="_Toc20823315"/>
      <w:bookmarkStart w:id="137" w:name="_Toc16938559"/>
      <w:bookmarkStart w:id="138" w:name="_Toc513029243"/>
    </w:p>
    <w:p w14:paraId="56B2594E">
      <w:pPr>
        <w:spacing w:line="480" w:lineRule="exact"/>
        <w:ind w:firstLine="480" w:firstLineChars="200"/>
        <w:rPr>
          <w:rFonts w:hint="eastAsia" w:ascii="宋体" w:hAnsi="宋体" w:eastAsia="宋体" w:cs="宋体"/>
          <w:kern w:val="0"/>
          <w:sz w:val="24"/>
        </w:rPr>
      </w:pPr>
    </w:p>
    <w:p w14:paraId="1318E7F2">
      <w:pPr>
        <w:spacing w:line="480" w:lineRule="exact"/>
        <w:jc w:val="center"/>
        <w:rPr>
          <w:rFonts w:hint="eastAsia" w:ascii="宋体" w:hAnsi="宋体" w:eastAsia="宋体" w:cs="宋体"/>
          <w:kern w:val="0"/>
          <w:sz w:val="24"/>
        </w:rPr>
      </w:pPr>
    </w:p>
    <w:p w14:paraId="3D86E3E4">
      <w:pPr>
        <w:spacing w:line="480" w:lineRule="exact"/>
        <w:jc w:val="center"/>
        <w:rPr>
          <w:rFonts w:hint="eastAsia" w:ascii="宋体" w:hAnsi="宋体" w:eastAsia="宋体" w:cs="宋体"/>
          <w:kern w:val="0"/>
          <w:sz w:val="24"/>
        </w:rPr>
      </w:pPr>
    </w:p>
    <w:p w14:paraId="7AE16569">
      <w:pPr>
        <w:spacing w:line="480" w:lineRule="exact"/>
        <w:jc w:val="center"/>
        <w:rPr>
          <w:rFonts w:hint="eastAsia" w:ascii="宋体" w:hAnsi="宋体" w:eastAsia="宋体" w:cs="宋体"/>
          <w:kern w:val="0"/>
          <w:sz w:val="24"/>
        </w:rPr>
      </w:pPr>
    </w:p>
    <w:p w14:paraId="33FC6734">
      <w:pPr>
        <w:spacing w:line="480" w:lineRule="exact"/>
        <w:jc w:val="center"/>
        <w:rPr>
          <w:rFonts w:hint="eastAsia" w:ascii="宋体" w:hAnsi="宋体" w:eastAsia="宋体" w:cs="宋体"/>
          <w:kern w:val="0"/>
          <w:sz w:val="24"/>
        </w:rPr>
      </w:pPr>
    </w:p>
    <w:p w14:paraId="75100BAE">
      <w:pPr>
        <w:spacing w:line="480" w:lineRule="exact"/>
        <w:jc w:val="center"/>
        <w:rPr>
          <w:rFonts w:hint="eastAsia" w:ascii="宋体" w:hAnsi="宋体" w:eastAsia="宋体" w:cs="宋体"/>
          <w:kern w:val="0"/>
          <w:sz w:val="24"/>
        </w:rPr>
      </w:pPr>
    </w:p>
    <w:p w14:paraId="039D1198">
      <w:pPr>
        <w:spacing w:line="480" w:lineRule="exact"/>
        <w:jc w:val="center"/>
        <w:rPr>
          <w:rFonts w:hint="eastAsia" w:ascii="宋体" w:hAnsi="宋体" w:eastAsia="宋体" w:cs="宋体"/>
          <w:kern w:val="0"/>
          <w:sz w:val="24"/>
        </w:rPr>
      </w:pPr>
    </w:p>
    <w:p w14:paraId="3BB89F9A">
      <w:pPr>
        <w:spacing w:line="480" w:lineRule="exact"/>
        <w:jc w:val="center"/>
        <w:rPr>
          <w:rFonts w:hint="eastAsia" w:ascii="宋体" w:hAnsi="宋体" w:eastAsia="宋体" w:cs="宋体"/>
          <w:kern w:val="0"/>
          <w:sz w:val="24"/>
        </w:rPr>
      </w:pPr>
    </w:p>
    <w:p w14:paraId="34CFB74E">
      <w:pPr>
        <w:spacing w:line="480" w:lineRule="exact"/>
        <w:jc w:val="center"/>
        <w:rPr>
          <w:rFonts w:hint="eastAsia" w:ascii="宋体" w:hAnsi="宋体" w:eastAsia="宋体" w:cs="宋体"/>
          <w:kern w:val="0"/>
          <w:sz w:val="24"/>
        </w:rPr>
      </w:pPr>
    </w:p>
    <w:p w14:paraId="1FB7F571">
      <w:pPr>
        <w:spacing w:line="480" w:lineRule="exact"/>
        <w:jc w:val="center"/>
        <w:rPr>
          <w:rFonts w:hint="eastAsia" w:ascii="宋体" w:hAnsi="宋体" w:eastAsia="宋体" w:cs="宋体"/>
          <w:kern w:val="0"/>
          <w:sz w:val="24"/>
        </w:rPr>
      </w:pPr>
    </w:p>
    <w:p w14:paraId="6F4FBC2D">
      <w:pPr>
        <w:spacing w:line="480" w:lineRule="exact"/>
        <w:jc w:val="center"/>
        <w:rPr>
          <w:rFonts w:hint="eastAsia" w:ascii="宋体" w:hAnsi="宋体" w:eastAsia="宋体" w:cs="宋体"/>
          <w:kern w:val="0"/>
          <w:sz w:val="24"/>
        </w:rPr>
      </w:pPr>
    </w:p>
    <w:p w14:paraId="60F2F92A">
      <w:pPr>
        <w:spacing w:line="480" w:lineRule="exact"/>
        <w:jc w:val="center"/>
        <w:rPr>
          <w:rFonts w:hint="eastAsia" w:ascii="宋体" w:hAnsi="宋体" w:eastAsia="宋体" w:cs="宋体"/>
          <w:kern w:val="0"/>
          <w:sz w:val="24"/>
        </w:rPr>
      </w:pPr>
    </w:p>
    <w:p w14:paraId="644DB2F9">
      <w:pPr>
        <w:spacing w:line="480" w:lineRule="exact"/>
        <w:jc w:val="center"/>
        <w:rPr>
          <w:rFonts w:hint="eastAsia" w:ascii="宋体" w:hAnsi="宋体" w:eastAsia="宋体" w:cs="宋体"/>
          <w:kern w:val="0"/>
          <w:sz w:val="24"/>
        </w:rPr>
      </w:pPr>
    </w:p>
    <w:p w14:paraId="13D7D7D2">
      <w:pPr>
        <w:spacing w:line="480" w:lineRule="exact"/>
        <w:jc w:val="center"/>
        <w:rPr>
          <w:rFonts w:hint="eastAsia" w:ascii="宋体" w:hAnsi="宋体" w:eastAsia="宋体" w:cs="宋体"/>
          <w:kern w:val="0"/>
          <w:sz w:val="24"/>
        </w:rPr>
      </w:pPr>
    </w:p>
    <w:p w14:paraId="5A7F5334">
      <w:pPr>
        <w:spacing w:line="480" w:lineRule="exact"/>
        <w:jc w:val="center"/>
        <w:rPr>
          <w:rFonts w:hint="eastAsia" w:ascii="宋体" w:hAnsi="宋体" w:eastAsia="宋体" w:cs="宋体"/>
        </w:rPr>
      </w:pPr>
      <w:r>
        <w:rPr>
          <w:rFonts w:hint="eastAsia" w:ascii="宋体" w:hAnsi="宋体" w:eastAsia="宋体" w:cs="宋体"/>
          <w:color w:val="000000"/>
          <w:sz w:val="44"/>
          <w:szCs w:val="44"/>
        </w:rPr>
        <w:t>第三章  合同文本</w:t>
      </w:r>
    </w:p>
    <w:p w14:paraId="61A7C968">
      <w:pPr>
        <w:pStyle w:val="9"/>
        <w:spacing w:beforeAutospacing="0" w:afterAutospacing="0" w:line="0" w:lineRule="atLeast"/>
        <w:ind w:firstLine="480"/>
        <w:jc w:val="both"/>
        <w:rPr>
          <w:rFonts w:hint="eastAsia" w:ascii="宋体" w:hAnsi="宋体" w:eastAsia="宋体" w:cs="宋体"/>
          <w:color w:val="000000"/>
        </w:rPr>
      </w:pPr>
    </w:p>
    <w:p w14:paraId="7CE67A9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以下为成交后签定本项目合同的通用条款，成交供应商不得提出实质性的修改。</w:t>
      </w:r>
      <w:bookmarkEnd w:id="136"/>
      <w:bookmarkEnd w:id="137"/>
      <w:bookmarkEnd w:id="138"/>
      <w:r>
        <w:rPr>
          <w:rFonts w:hint="eastAsia" w:ascii="宋体" w:hAnsi="宋体" w:eastAsia="宋体" w:cs="宋体"/>
        </w:rPr>
        <w:t> </w:t>
      </w:r>
    </w:p>
    <w:p w14:paraId="30FABF17">
      <w:pPr>
        <w:pStyle w:val="9"/>
        <w:spacing w:before="145" w:beforeAutospacing="0" w:after="145" w:afterAutospacing="0"/>
        <w:jc w:val="center"/>
        <w:rPr>
          <w:rFonts w:hint="eastAsia" w:ascii="宋体" w:hAnsi="宋体" w:eastAsia="宋体" w:cs="宋体"/>
        </w:rPr>
      </w:pPr>
      <w:r>
        <w:rPr>
          <w:rFonts w:hint="eastAsia" w:ascii="宋体" w:hAnsi="宋体" w:eastAsia="宋体" w:cs="宋体"/>
          <w:b/>
          <w:color w:val="000000"/>
          <w:sz w:val="30"/>
          <w:szCs w:val="30"/>
        </w:rPr>
        <w:t>盐城市政府采购合同（合同编号）</w:t>
      </w:r>
    </w:p>
    <w:p w14:paraId="1E81981E">
      <w:pPr>
        <w:pStyle w:val="9"/>
        <w:spacing w:beforeAutospacing="0" w:afterAutospacing="0" w:line="480" w:lineRule="exact"/>
        <w:ind w:firstLine="480" w:firstLineChars="200"/>
        <w:rPr>
          <w:rFonts w:hint="eastAsia" w:ascii="宋体" w:hAnsi="宋体" w:eastAsia="宋体" w:cs="宋体"/>
          <w:color w:val="000000"/>
        </w:rPr>
      </w:pPr>
      <w:r>
        <w:rPr>
          <w:rFonts w:hint="eastAsia" w:ascii="宋体" w:hAnsi="宋体" w:eastAsia="宋体" w:cs="宋体"/>
          <w:color w:val="000000"/>
        </w:rPr>
        <w:t xml:space="preserve">项目名称：市级电视媒体形象宣传项目               </w:t>
      </w:r>
    </w:p>
    <w:p w14:paraId="6CB58AAA">
      <w:pPr>
        <w:pStyle w:val="9"/>
        <w:spacing w:beforeAutospacing="0" w:afterAutospacing="0" w:line="480" w:lineRule="exact"/>
        <w:ind w:firstLine="480" w:firstLineChars="200"/>
        <w:rPr>
          <w:rFonts w:hint="eastAsia" w:ascii="宋体" w:hAnsi="宋体" w:eastAsia="宋体" w:cs="宋体"/>
        </w:rPr>
      </w:pPr>
      <w:r>
        <w:rPr>
          <w:rFonts w:hint="eastAsia" w:ascii="宋体" w:hAnsi="宋体" w:eastAsia="宋体" w:cs="宋体"/>
          <w:color w:val="000000"/>
        </w:rPr>
        <w:t>项目编号：</w:t>
      </w:r>
    </w:p>
    <w:p w14:paraId="0B959ED0">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甲方：</w:t>
      </w:r>
      <w:r>
        <w:rPr>
          <w:rFonts w:hint="eastAsia" w:ascii="宋体" w:hAnsi="宋体" w:eastAsia="宋体" w:cs="宋体"/>
          <w:color w:val="000000"/>
          <w:u w:val="single"/>
        </w:rPr>
        <w:t>盐城市自然资源和规划局</w:t>
      </w:r>
    </w:p>
    <w:p w14:paraId="05FA3934">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乙方： _________</w:t>
      </w:r>
    </w:p>
    <w:p w14:paraId="6B7136BC">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甲、乙双方根据</w:t>
      </w:r>
      <w:r>
        <w:rPr>
          <w:rFonts w:hint="eastAsia" w:ascii="宋体" w:hAnsi="宋体" w:eastAsia="宋体" w:cs="宋体"/>
          <w:color w:val="000000"/>
          <w:u w:val="single"/>
        </w:rPr>
        <w:t>市级电视媒体形象宣传项目</w:t>
      </w:r>
      <w:r>
        <w:rPr>
          <w:rFonts w:hint="eastAsia" w:ascii="宋体" w:hAnsi="宋体" w:eastAsia="宋体" w:cs="宋体"/>
          <w:color w:val="000000"/>
        </w:rPr>
        <w:t>单一来源采购的结果，签署本合同。</w:t>
      </w:r>
    </w:p>
    <w:p w14:paraId="714DC8FF">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一、服务内容</w:t>
      </w:r>
    </w:p>
    <w:p w14:paraId="5024E4D5">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1.1 服务名称：市级电视媒体形象宣传项目 </w:t>
      </w:r>
    </w:p>
    <w:p w14:paraId="326BA582">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1.2 服务期限：自合同生效之日起1年</w:t>
      </w:r>
    </w:p>
    <w:p w14:paraId="66B935CE">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1.3 服务内容：包含但不限于政务宣传、海洋天气预报及林业专项宣传等服务内容。</w:t>
      </w:r>
    </w:p>
    <w:p w14:paraId="6A5207E9">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二、合同金额</w:t>
      </w:r>
    </w:p>
    <w:p w14:paraId="68065AF2">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2.1 本合同金额为（大写）：____________________________________圆（_______________元）人民币或其他币种。</w:t>
      </w:r>
    </w:p>
    <w:p w14:paraId="56DBE5EE">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三、技术资料</w:t>
      </w:r>
    </w:p>
    <w:p w14:paraId="4D10CA81">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3.1甲方应在</w:t>
      </w:r>
      <w:r>
        <w:rPr>
          <w:rFonts w:hint="eastAsia" w:ascii="宋体" w:hAnsi="宋体" w:eastAsia="宋体" w:cs="宋体"/>
          <w:color w:val="000000"/>
          <w:highlight w:val="yellow"/>
        </w:rPr>
        <w:t>合同签订之日起</w:t>
      </w:r>
      <w:r>
        <w:rPr>
          <w:rFonts w:hint="eastAsia" w:ascii="宋体" w:hAnsi="宋体" w:eastAsia="宋体" w:cs="宋体"/>
          <w:color w:val="000000"/>
        </w:rPr>
        <w:t>10个工作日内向乙方提供与履行合同有关的基础技术资料。</w:t>
      </w:r>
    </w:p>
    <w:p w14:paraId="1835980C">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16CE63">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四、知识产权</w:t>
      </w:r>
    </w:p>
    <w:p w14:paraId="14F8977D">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4.1乙方应保证甲方在使用、接受全部项目成果或其任何一部分时不受第三方提出侵犯其专利权、版权、商标权和工业设计权等知识产权的起诉。一旦出现侵权，由乙方负全部责任。</w:t>
      </w:r>
    </w:p>
    <w:p w14:paraId="1FD862FD">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五、产权担保</w:t>
      </w:r>
    </w:p>
    <w:p w14:paraId="4B5A4FD0">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5.1 乙方保证所交付的项目成果的所有权完全属于乙方且无任何抵押、查封等产权瑕疵。</w:t>
      </w:r>
    </w:p>
    <w:p w14:paraId="62B4B87A">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六、履约保证金</w:t>
      </w:r>
    </w:p>
    <w:p w14:paraId="4A15F8F6">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6.1 乙方交纳人民币_________元作为本合同的履约保证金。</w:t>
      </w:r>
      <w:r>
        <w:rPr>
          <w:rFonts w:hint="eastAsia" w:ascii="宋体" w:hAnsi="宋体" w:eastAsia="宋体" w:cs="宋体"/>
        </w:rPr>
        <w:t>（合同金额的5%）；</w:t>
      </w:r>
      <w:r>
        <w:rPr>
          <w:rFonts w:hint="eastAsia" w:ascii="宋体" w:hAnsi="宋体" w:eastAsia="宋体" w:cs="宋体"/>
          <w:b/>
        </w:rPr>
        <w:t>于合同履行完毕后同合同款一起无息退还</w:t>
      </w:r>
      <w:r>
        <w:rPr>
          <w:rFonts w:hint="eastAsia" w:ascii="宋体" w:hAnsi="宋体" w:eastAsia="宋体" w:cs="宋体"/>
        </w:rPr>
        <w:t>。</w:t>
      </w:r>
      <w:r>
        <w:rPr>
          <w:rFonts w:hint="eastAsia" w:ascii="宋体" w:hAnsi="宋体" w:eastAsia="宋体" w:cs="宋体"/>
          <w:b/>
          <w:bCs/>
        </w:rPr>
        <w:t>引用盐城信用办推行的第三方信用报告，AAA的供应商免交履约保证金，AA的供应商按一半金额缴纳(需提供信用管理部门备案的第三方信用报告)。</w:t>
      </w:r>
    </w:p>
    <w:p w14:paraId="47FCCAA3">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rPr>
        <w:t>6.2确需收取履约保证金的，履约保证金的缴纳形式：</w:t>
      </w:r>
    </w:p>
    <w:p w14:paraId="47F69DD1">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rPr>
        <w:t>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5B112328">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rPr>
        <w:t>6.2.2 如以履约保函（保险）形式缴纳履约保证金，乙方可通过政府采购电子履约保函（保险）平台（www.jsdzbh.com）在线申请履约保函（保险）。</w:t>
      </w:r>
    </w:p>
    <w:p w14:paraId="3B7E9344">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6.3合同履行结束后，甲方应及时退还乙方交纳的履约保证金。</w:t>
      </w:r>
    </w:p>
    <w:p w14:paraId="01E47A76">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6.4履约保证金的退还：</w:t>
      </w:r>
    </w:p>
    <w:p w14:paraId="353AC3C7">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6.4.1方式：无息退还至乙方缴纳履约保证金的账户。如为保函，在到期时自行失效。</w:t>
      </w:r>
    </w:p>
    <w:p w14:paraId="2A758B01">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6.4.2时间：验收合格且甲方收到发票后</w:t>
      </w:r>
      <w:r>
        <w:rPr>
          <w:rFonts w:hint="eastAsia" w:ascii="宋体" w:hAnsi="宋体" w:eastAsia="宋体" w:cs="宋体"/>
          <w:color w:val="000000" w:themeColor="text1"/>
          <w:kern w:val="0"/>
          <w:sz w:val="24"/>
          <w:highlight w:val="yellow"/>
          <w14:textFill>
            <w14:solidFill>
              <w14:schemeClr w14:val="tx1"/>
            </w14:solidFill>
          </w14:textFill>
        </w:rPr>
        <w:t>10个工作日</w:t>
      </w:r>
      <w:r>
        <w:rPr>
          <w:rFonts w:hint="eastAsia" w:ascii="宋体" w:hAnsi="宋体" w:eastAsia="宋体" w:cs="宋体"/>
          <w:color w:val="000000" w:themeColor="text1"/>
          <w:kern w:val="0"/>
          <w:sz w:val="24"/>
          <w14:textFill>
            <w14:solidFill>
              <w14:schemeClr w14:val="tx1"/>
            </w14:solidFill>
          </w14:textFill>
        </w:rPr>
        <w:t>内。</w:t>
      </w:r>
    </w:p>
    <w:p w14:paraId="7A626A72">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6.4.3条件：按合同要求全部履约完成并经甲方验收合格，且甲方收到乙方出具的发票。</w:t>
      </w:r>
    </w:p>
    <w:p w14:paraId="2C9A8363">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6.4.4不予退还情形：</w:t>
      </w:r>
    </w:p>
    <w:p w14:paraId="3EAF3D10">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除不可抗力情况外，乙方出现下列情形之一的，其履约保证金，甲方将视情节决定不予退还或部分不予退还。</w:t>
      </w:r>
    </w:p>
    <w:p w14:paraId="63C66F51">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（1）乙方无正当理由拒绝签订合同的，或者在签订合同时向甲方提出附加条件或者更改合同实质性内容要求的；</w:t>
      </w:r>
    </w:p>
    <w:p w14:paraId="4EA974D4">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（2）乙方不履行与甲方订立的合同的；</w:t>
      </w:r>
    </w:p>
    <w:p w14:paraId="55F3D343">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（3）乙方所供货物或服务不符合采购文件规定要求的；</w:t>
      </w:r>
    </w:p>
    <w:p w14:paraId="05FCA0E9">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（4）乙方采取欺骗、弄虚作假方式响应的或与其它供应商串通的；</w:t>
      </w:r>
    </w:p>
    <w:p w14:paraId="47B5CFE1">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（5）乙方将合同内容转包、违法分包的；</w:t>
      </w:r>
    </w:p>
    <w:p w14:paraId="24F4BE49">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（6）乙方故意捏造事实或伪造证明材料，进行虚假恶意投诉或反映的。</w:t>
      </w:r>
    </w:p>
    <w:p w14:paraId="5C34BE4D">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6.4.5逾期退还的违约责任：甲方逾期无故未退还履约保证金的，按中国人民银行同期贷款基准利率上浮20%后的利率支付超期资金占用费，但因乙方自身原因导致无法及时退还的除外。</w:t>
      </w:r>
    </w:p>
    <w:p w14:paraId="6E756A42">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七、合同转包或分包</w:t>
      </w:r>
    </w:p>
    <w:p w14:paraId="297A6176">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7.1乙方不得将服务项目转包给他人完成。</w:t>
      </w:r>
    </w:p>
    <w:p w14:paraId="56F9AC87">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7.2乙方不得将服务项目分包给他人完成。</w:t>
      </w:r>
    </w:p>
    <w:p w14:paraId="435CADE1">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7.3乙方如有转包或未经甲方同意的分包行为，甲方有权解除合同。</w:t>
      </w:r>
    </w:p>
    <w:p w14:paraId="55876DB9">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八、合同款项支付</w:t>
      </w:r>
    </w:p>
    <w:p w14:paraId="47893C01">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8.1合同款项的支付方式及进度安排</w:t>
      </w:r>
    </w:p>
    <w:p w14:paraId="76CFDE7B">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8.1.1 预付款支付时间：合同签订后，甲方收到乙方发票后10个工作日内支付年度合同总价</w:t>
      </w:r>
      <w:r>
        <w:rPr>
          <w:rFonts w:hint="eastAsia" w:ascii="宋体" w:hAnsi="宋体" w:eastAsia="宋体" w:cs="宋体"/>
          <w:color w:val="000000"/>
          <w:lang w:val="en-US" w:eastAsia="zh-CN"/>
        </w:rPr>
        <w:t>5</w:t>
      </w:r>
      <w:r>
        <w:rPr>
          <w:rFonts w:hint="eastAsia" w:ascii="宋体" w:hAnsi="宋体" w:eastAsia="宋体" w:cs="宋体"/>
          <w:color w:val="000000"/>
        </w:rPr>
        <w:t>0%的预付款</w:t>
      </w:r>
      <w:r>
        <w:rPr>
          <w:rFonts w:hint="eastAsia" w:ascii="宋体" w:hAnsi="宋体" w:eastAsia="宋体" w:cs="宋体"/>
          <w:b/>
          <w:bCs/>
          <w:color w:val="000000"/>
        </w:rPr>
        <w:t>（在签订合同时，中标、成交供应商明确书面表示无需预付款或者主动要求降低预付款比例的，采购人可就预付款比例作相应调整）；</w:t>
      </w:r>
      <w:r>
        <w:rPr>
          <w:rFonts w:hint="eastAsia" w:ascii="宋体" w:hAnsi="宋体" w:eastAsia="宋体" w:cs="宋体"/>
          <w:color w:val="000000"/>
        </w:rPr>
        <w:t>服务结束并通过甲方验收合格后,甲方收到乙方发票后10个工作日内，余款一次性付清。</w:t>
      </w:r>
    </w:p>
    <w:p w14:paraId="1F971902">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九、税费</w:t>
      </w:r>
    </w:p>
    <w:p w14:paraId="02A7332D">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9.1本合同执行中相关的一切税费均由乙方负担。</w:t>
      </w:r>
    </w:p>
    <w:p w14:paraId="636309D5">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十、项目验收</w:t>
      </w:r>
    </w:p>
    <w:p w14:paraId="697D0AF8">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10.1 甲方依法组织履约验收工作。</w:t>
      </w:r>
    </w:p>
    <w:p w14:paraId="7D1AADB9">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387860D">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10.3 对于实际使用人和甲方分离的项目，甲方邀请实际使用人参与验收。</w:t>
      </w:r>
    </w:p>
    <w:p w14:paraId="012E4D4F">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10.4 如有必要，甲方邀请参加本项目的其他供应商或第三方专业机构及专家参与验收，相关意见将作为验收书的参考资料。</w:t>
      </w:r>
    </w:p>
    <w:p w14:paraId="68588618">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71D41FB">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878F168">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十一、违约责任</w:t>
      </w:r>
    </w:p>
    <w:p w14:paraId="42D1F79A">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11.1 甲方无正当理由拒绝接受乙方提供项目成果的，甲方向乙方支付合同金额</w:t>
      </w:r>
      <w:r>
        <w:rPr>
          <w:rFonts w:hint="eastAsia" w:ascii="宋体" w:hAnsi="宋体" w:eastAsia="宋体" w:cs="宋体"/>
          <w:color w:val="000000"/>
          <w:u w:val="single"/>
        </w:rPr>
        <w:t>百分之五</w:t>
      </w:r>
      <w:r>
        <w:rPr>
          <w:rFonts w:hint="eastAsia" w:ascii="宋体" w:hAnsi="宋体" w:eastAsia="宋体" w:cs="宋体"/>
          <w:color w:val="000000"/>
        </w:rPr>
        <w:t>的违约金。</w:t>
      </w:r>
    </w:p>
    <w:p w14:paraId="0C149A1A">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11.2 甲方无故逾期验收和办理合同款项支付手续的,甲方应按逾期付款总额</w:t>
      </w:r>
      <w:r>
        <w:rPr>
          <w:rFonts w:hint="eastAsia" w:ascii="宋体" w:hAnsi="宋体" w:eastAsia="宋体" w:cs="宋体"/>
          <w:color w:val="000000"/>
          <w:u w:val="single"/>
        </w:rPr>
        <w:t xml:space="preserve"> 千分之五 </w:t>
      </w:r>
      <w:r>
        <w:rPr>
          <w:rFonts w:hint="eastAsia" w:ascii="宋体" w:hAnsi="宋体" w:eastAsia="宋体" w:cs="宋体"/>
          <w:color w:val="000000"/>
        </w:rPr>
        <w:t>每日向乙方支付违约金。</w:t>
      </w:r>
    </w:p>
    <w:p w14:paraId="0D68920B">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 xml:space="preserve">11.3乙方逾期完成服务内容的，乙方应按合同金额每日千分之六向甲方支付违约金，由甲方从待付合同款项中扣除。逾期超过约定日期10个工作日不能完成服务内容的，甲方可解除本合同。乙方因逾期完成服务内容或因其他违约行为导致甲方解除合同的，乙方应向甲方支付合同金额百分之五的违约金，如造成甲方损失超过违约金的，超出部分由乙方继续承担赔偿责任。 </w:t>
      </w:r>
    </w:p>
    <w:p w14:paraId="7FB7651E">
      <w:pPr>
        <w:pStyle w:val="9"/>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11.4 乙方提交的项目成果不符合合同约定及采购文件规定标准的，甲方有权拒绝接受项目成果，并可单方面解除合同。</w:t>
      </w:r>
    </w:p>
    <w:p w14:paraId="39AF27C9">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十二、不可抗力事件处理</w:t>
      </w:r>
    </w:p>
    <w:p w14:paraId="0F96157A">
      <w:pPr>
        <w:pStyle w:val="9"/>
        <w:spacing w:beforeAutospacing="0" w:afterAutospacing="0" w:line="480" w:lineRule="exact"/>
        <w:ind w:firstLine="480" w:firstLineChars="200"/>
        <w:rPr>
          <w:rFonts w:hint="eastAsia" w:ascii="宋体" w:hAnsi="宋体" w:eastAsia="宋体" w:cs="宋体"/>
        </w:rPr>
      </w:pPr>
      <w:r>
        <w:rPr>
          <w:rFonts w:hint="eastAsia" w:ascii="宋体" w:hAnsi="宋体" w:eastAsia="宋体" w:cs="宋体"/>
          <w:color w:val="000000"/>
        </w:rPr>
        <w:t>12.1 在合同有效期内，任何一方因不可抗力事件导致不能履行合同，则合同履行期可延长，其延长期与不可抗力影响期相同。</w:t>
      </w:r>
    </w:p>
    <w:p w14:paraId="0BC2996E">
      <w:pPr>
        <w:pStyle w:val="9"/>
        <w:spacing w:beforeAutospacing="0" w:afterAutospacing="0" w:line="480" w:lineRule="exact"/>
        <w:ind w:firstLine="480" w:firstLineChars="200"/>
        <w:rPr>
          <w:rFonts w:hint="eastAsia" w:ascii="宋体" w:hAnsi="宋体" w:eastAsia="宋体" w:cs="宋体"/>
        </w:rPr>
      </w:pPr>
      <w:r>
        <w:rPr>
          <w:rFonts w:hint="eastAsia" w:ascii="宋体" w:hAnsi="宋体" w:eastAsia="宋体" w:cs="宋体"/>
          <w:color w:val="000000"/>
        </w:rPr>
        <w:t>12.2 不可抗力事件发生后，应立即通知对方，并寄送有关权威机构出具的证明。</w:t>
      </w:r>
    </w:p>
    <w:p w14:paraId="4384B59A">
      <w:pPr>
        <w:pStyle w:val="9"/>
        <w:spacing w:beforeAutospacing="0" w:afterAutospacing="0" w:line="480" w:lineRule="exact"/>
        <w:ind w:firstLine="480" w:firstLineChars="200"/>
        <w:rPr>
          <w:rFonts w:hint="eastAsia" w:ascii="宋体" w:hAnsi="宋体" w:eastAsia="宋体" w:cs="宋体"/>
        </w:rPr>
      </w:pPr>
      <w:r>
        <w:rPr>
          <w:rFonts w:hint="eastAsia" w:ascii="宋体" w:hAnsi="宋体" w:eastAsia="宋体" w:cs="宋体"/>
          <w:color w:val="000000"/>
        </w:rPr>
        <w:t>12.3 不可抗力事件延续120天以上，双方应通过友好协商，确定是否继续履行合同。</w:t>
      </w:r>
    </w:p>
    <w:p w14:paraId="5537A7F7">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十三、解决争议的方法</w:t>
      </w:r>
    </w:p>
    <w:p w14:paraId="53339276">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13.1双方在签订、履行合同中所发生的一切争议，应通过友好协商解决。如协商不成，由盐城市亭湖区人民法院管辖。</w:t>
      </w:r>
    </w:p>
    <w:p w14:paraId="7C8689A3">
      <w:pPr>
        <w:pStyle w:val="9"/>
        <w:spacing w:beforeAutospacing="0" w:afterAutospacing="0" w:line="480" w:lineRule="exact"/>
        <w:ind w:firstLine="482" w:firstLineChars="200"/>
        <w:jc w:val="both"/>
        <w:rPr>
          <w:rFonts w:hint="eastAsia" w:ascii="宋体" w:hAnsi="宋体" w:eastAsia="宋体" w:cs="宋体"/>
        </w:rPr>
      </w:pPr>
      <w:r>
        <w:rPr>
          <w:rFonts w:hint="eastAsia" w:ascii="宋体" w:hAnsi="宋体" w:eastAsia="宋体" w:cs="宋体"/>
          <w:b/>
          <w:color w:val="000000"/>
        </w:rPr>
        <w:t>十四、合同生效及其它</w:t>
      </w:r>
    </w:p>
    <w:p w14:paraId="505B2B13">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14.1 合同经双方法定代表人或授权委托代表人签字并加盖单位公章后生效。</w:t>
      </w:r>
    </w:p>
    <w:p w14:paraId="5490514A">
      <w:pPr>
        <w:pStyle w:val="9"/>
        <w:spacing w:beforeAutospacing="0" w:afterAutospacing="0" w:line="480" w:lineRule="exact"/>
        <w:ind w:firstLine="480" w:firstLineChars="200"/>
        <w:jc w:val="both"/>
        <w:rPr>
          <w:rFonts w:hint="eastAsia" w:ascii="宋体" w:hAnsi="宋体" w:eastAsia="宋体" w:cs="宋体"/>
        </w:rPr>
      </w:pPr>
      <w:r>
        <w:rPr>
          <w:rFonts w:hint="eastAsia" w:ascii="宋体" w:hAnsi="宋体" w:eastAsia="宋体" w:cs="宋体"/>
          <w:color w:val="000000"/>
        </w:rPr>
        <w:t>14.2本合同未尽事宜，遵照《中华人民共和国民法典》、《中华人民共和国政府采购法》有关条文执行。</w:t>
      </w:r>
    </w:p>
    <w:p w14:paraId="3F8B7879">
      <w:pPr>
        <w:pStyle w:val="6"/>
        <w:snapToGrid w:val="0"/>
        <w:spacing w:line="480" w:lineRule="exact"/>
        <w:ind w:firstLine="480" w:firstLineChars="200"/>
        <w:rPr>
          <w:rFonts w:hint="eastAsia" w:hAnsi="宋体" w:eastAsia="宋体" w:cs="宋体"/>
          <w:sz w:val="24"/>
          <w:szCs w:val="24"/>
        </w:rPr>
      </w:pPr>
      <w:r>
        <w:rPr>
          <w:rFonts w:hint="eastAsia" w:hAnsi="宋体" w:eastAsia="宋体" w:cs="宋体"/>
          <w:color w:val="000000"/>
          <w:kern w:val="0"/>
          <w:sz w:val="24"/>
          <w:szCs w:val="24"/>
        </w:rPr>
        <w:t>14.3 本合同一式肆份，甲、</w:t>
      </w:r>
      <w:r>
        <w:rPr>
          <w:rFonts w:hint="eastAsia" w:hAnsi="宋体" w:eastAsia="宋体" w:cs="宋体"/>
          <w:sz w:val="24"/>
          <w:szCs w:val="24"/>
        </w:rPr>
        <w:t>乙双方各执贰份。</w:t>
      </w:r>
    </w:p>
    <w:p w14:paraId="649985B5">
      <w:pPr>
        <w:pStyle w:val="9"/>
        <w:spacing w:before="120" w:beforeAutospacing="0" w:after="120" w:afterAutospacing="0" w:line="360" w:lineRule="auto"/>
        <w:ind w:left="480" w:firstLine="180" w:firstLineChars="75"/>
        <w:jc w:val="both"/>
        <w:rPr>
          <w:rFonts w:hint="eastAsia" w:ascii="宋体" w:hAnsi="宋体" w:eastAsia="宋体" w:cs="宋体"/>
        </w:rPr>
      </w:pPr>
    </w:p>
    <w:p w14:paraId="70AB6318">
      <w:pPr>
        <w:pStyle w:val="9"/>
        <w:spacing w:before="120" w:beforeAutospacing="0" w:after="12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 xml:space="preserve">甲方：                乙方： </w:t>
      </w:r>
    </w:p>
    <w:p w14:paraId="7A057099">
      <w:pPr>
        <w:pStyle w:val="9"/>
        <w:spacing w:before="120" w:beforeAutospacing="0" w:after="120" w:afterAutospacing="0" w:line="360" w:lineRule="auto"/>
        <w:ind w:firstLine="180" w:firstLineChars="75"/>
        <w:jc w:val="both"/>
        <w:rPr>
          <w:rFonts w:hint="eastAsia" w:ascii="宋体" w:hAnsi="宋体" w:eastAsia="宋体" w:cs="宋体"/>
        </w:rPr>
      </w:pPr>
      <w:r>
        <w:rPr>
          <w:rFonts w:hint="eastAsia" w:ascii="宋体" w:hAnsi="宋体" w:eastAsia="宋体" w:cs="宋体"/>
          <w:color w:val="000000"/>
        </w:rPr>
        <w:t xml:space="preserve"> 地址：                地址： </w:t>
      </w:r>
    </w:p>
    <w:p w14:paraId="3DBD988A">
      <w:pPr>
        <w:pStyle w:val="9"/>
        <w:spacing w:before="120" w:beforeAutospacing="0" w:after="120" w:afterAutospacing="0" w:line="360" w:lineRule="auto"/>
        <w:ind w:firstLine="180" w:firstLineChars="75"/>
        <w:jc w:val="both"/>
        <w:rPr>
          <w:rFonts w:hint="eastAsia" w:ascii="宋体" w:hAnsi="宋体" w:eastAsia="宋体" w:cs="宋体"/>
        </w:rPr>
      </w:pPr>
      <w:r>
        <w:rPr>
          <w:rFonts w:hint="eastAsia" w:ascii="宋体" w:hAnsi="宋体" w:eastAsia="宋体" w:cs="宋体"/>
          <w:color w:val="000000"/>
        </w:rPr>
        <w:t> 法定代表人或授权代表：        法定代表人或授权代表：</w:t>
      </w:r>
    </w:p>
    <w:p w14:paraId="2D91C2D2">
      <w:pPr>
        <w:pStyle w:val="9"/>
        <w:spacing w:before="120" w:beforeAutospacing="0" w:after="120" w:afterAutospacing="0" w:line="360" w:lineRule="auto"/>
        <w:ind w:firstLine="420" w:firstLineChars="175"/>
        <w:jc w:val="both"/>
        <w:rPr>
          <w:rFonts w:hint="eastAsia" w:ascii="宋体" w:hAnsi="宋体" w:eastAsia="宋体" w:cs="宋体"/>
        </w:rPr>
      </w:pPr>
      <w:r>
        <w:rPr>
          <w:rFonts w:hint="eastAsia" w:ascii="宋体" w:hAnsi="宋体" w:eastAsia="宋体" w:cs="宋体"/>
          <w:color w:val="000000"/>
        </w:rPr>
        <w:t xml:space="preserve">联系电话：              联系电话：          </w:t>
      </w:r>
    </w:p>
    <w:p w14:paraId="4BEBC037">
      <w:pPr>
        <w:pStyle w:val="9"/>
        <w:spacing w:before="120" w:beforeAutospacing="0" w:after="120" w:afterAutospacing="0" w:line="360" w:lineRule="auto"/>
        <w:ind w:firstLine="157" w:firstLineChars="75"/>
        <w:jc w:val="both"/>
        <w:rPr>
          <w:rFonts w:hint="eastAsia" w:ascii="宋体" w:hAnsi="宋体" w:eastAsia="宋体" w:cs="宋体"/>
        </w:rPr>
      </w:pPr>
      <w:r>
        <w:rPr>
          <w:rFonts w:hint="eastAsia" w:ascii="宋体" w:hAnsi="宋体" w:eastAsia="宋体" w:cs="宋体"/>
          <w:color w:val="000000"/>
          <w:sz w:val="21"/>
          <w:szCs w:val="21"/>
        </w:rPr>
        <w:t>                                                                                  签订日期：   年    月   日</w:t>
      </w:r>
    </w:p>
    <w:p w14:paraId="2E39D439">
      <w:pPr>
        <w:pStyle w:val="9"/>
        <w:numPr>
          <w:ilvl w:val="0"/>
          <w:numId w:val="1"/>
        </w:numPr>
        <w:spacing w:before="120" w:beforeAutospacing="0" w:after="120" w:afterAutospacing="0" w:line="360" w:lineRule="auto"/>
        <w:jc w:val="both"/>
        <w:rPr>
          <w:rFonts w:hint="eastAsia" w:ascii="宋体" w:hAnsi="宋体" w:eastAsia="宋体" w:cs="宋体"/>
          <w:color w:val="000000"/>
          <w:sz w:val="44"/>
          <w:szCs w:val="44"/>
        </w:rPr>
      </w:pPr>
      <w:bookmarkStart w:id="139" w:name="_Toc479757211"/>
      <w:bookmarkStart w:id="140" w:name="_Toc120614244"/>
      <w:bookmarkStart w:id="141" w:name="_Toc16938590"/>
      <w:bookmarkStart w:id="142" w:name="_Toc20823346"/>
      <w:bookmarkStart w:id="143" w:name="_Toc462564139"/>
      <w:bookmarkStart w:id="144" w:name="_Hlt16619350"/>
      <w:bookmarkStart w:id="145" w:name="_Hlt16619369"/>
      <w:r>
        <w:rPr>
          <w:rFonts w:hint="eastAsia" w:ascii="宋体" w:hAnsi="宋体" w:eastAsia="宋体" w:cs="宋体"/>
          <w:color w:val="000000"/>
          <w:sz w:val="44"/>
          <w:szCs w:val="44"/>
        </w:rPr>
        <w:br w:type="page"/>
      </w:r>
      <w:bookmarkEnd w:id="139"/>
      <w:r>
        <w:rPr>
          <w:rFonts w:hint="eastAsia" w:ascii="宋体" w:hAnsi="宋体" w:eastAsia="宋体" w:cs="宋体"/>
          <w:color w:val="000000"/>
          <w:sz w:val="44"/>
          <w:szCs w:val="44"/>
        </w:rPr>
        <w:t>采购需求</w:t>
      </w:r>
      <w:bookmarkEnd w:id="140"/>
      <w:bookmarkEnd w:id="141"/>
      <w:bookmarkEnd w:id="142"/>
      <w:bookmarkEnd w:id="143"/>
      <w:bookmarkStart w:id="146" w:name="_Toc49090575"/>
      <w:bookmarkEnd w:id="146"/>
      <w:bookmarkStart w:id="147" w:name="_Toc26554093"/>
      <w:bookmarkEnd w:id="147"/>
    </w:p>
    <w:p w14:paraId="7B8F6B2A">
      <w:pPr>
        <w:pStyle w:val="9"/>
        <w:spacing w:before="120" w:beforeAutospacing="0" w:after="120" w:afterAutospacing="0" w:line="440" w:lineRule="exact"/>
        <w:ind w:firstLine="482" w:firstLineChars="200"/>
        <w:jc w:val="both"/>
        <w:rPr>
          <w:rFonts w:hint="eastAsia" w:ascii="宋体" w:hAnsi="宋体" w:eastAsia="宋体" w:cs="宋体"/>
          <w:color w:val="000000"/>
          <w:sz w:val="44"/>
          <w:szCs w:val="44"/>
        </w:rPr>
      </w:pPr>
      <w:r>
        <w:rPr>
          <w:rFonts w:hint="eastAsia" w:ascii="宋体" w:hAnsi="宋体" w:eastAsia="宋体"/>
          <w:b/>
          <w:bCs/>
        </w:rPr>
        <w:t>项目属性:服务类项目。</w:t>
      </w:r>
    </w:p>
    <w:p w14:paraId="480F3001">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市委八届十次全会指出，美丽生态是盐城的“三大名片”之一，也是盐城更好落实国家战略的重要抓手。扛起新使命、勇当排头兵，时代是最大的机遇，趋势是最强的力量，推进绿色低碳发展是“破题之钥”，契合盐城实际、体现盐城所长、彰显盐城担当。</w:t>
      </w:r>
    </w:p>
    <w:p w14:paraId="09B1790C">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我局将深入贯彻习近平新时代中国特色社会主义思想，牢固树立“绿水青山就是金山银山”的发展理念，认真贯彻落实中央和省市决策部署、履行“两统一”核心职责，集中在市级电视媒体形成好报道、发出好声音、树立好形象，全景展现服务保障高质量、改革创新、便民利企等各方面取得的成绩成效。 </w:t>
      </w:r>
    </w:p>
    <w:p w14:paraId="787D7D4D">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2025是“十四五”收官之年，市委市政府高度重视建设绿色低碳发展示范区、四个“绿色盐城”建设、黄海湿地世遗品牌传播以及自然资源和规划工作，要求在全市特别是市级电视主流媒体上营造全社会关心支持自然资源和规划的良好氛围，进一步提升自然资源和规划工作的社会关注度、知晓度、美誉度。盐城广播电视总台作为市委直属的全市域广播电视主流媒体和宣传阵地，承担着全市重要政治、经济、文化等宣传任务，通过几十年的传承和积淀，已形成具有强大政治影响力和社会公信力的地方主流媒体，是市级唯一具有广播电视宣传资质的平台载体。就2025年市级电视媒体宣传明确如下方案：</w:t>
      </w:r>
    </w:p>
    <w:p w14:paraId="013CD8CE">
      <w:pPr>
        <w:pStyle w:val="15"/>
        <w:spacing w:line="440" w:lineRule="exact"/>
        <w:ind w:firstLine="480" w:firstLineChars="200"/>
        <w:rPr>
          <w:rFonts w:hint="eastAsia"/>
          <w:color w:val="auto"/>
          <w:kern w:val="2"/>
          <w:sz w:val="24"/>
          <w:szCs w:val="24"/>
        </w:rPr>
      </w:pPr>
      <w:r>
        <w:rPr>
          <w:rFonts w:hint="eastAsia"/>
          <w:color w:val="auto"/>
          <w:kern w:val="2"/>
          <w:sz w:val="24"/>
          <w:szCs w:val="24"/>
        </w:rPr>
        <w:t>一、主要宣传方式</w:t>
      </w:r>
    </w:p>
    <w:p w14:paraId="1656049F">
      <w:pPr>
        <w:pStyle w:val="15"/>
        <w:spacing w:line="440" w:lineRule="exact"/>
        <w:ind w:firstLine="480" w:firstLineChars="200"/>
        <w:rPr>
          <w:rFonts w:hint="eastAsia"/>
          <w:color w:val="auto"/>
          <w:kern w:val="2"/>
          <w:sz w:val="24"/>
          <w:szCs w:val="24"/>
        </w:rPr>
      </w:pPr>
      <w:r>
        <w:rPr>
          <w:rFonts w:hint="eastAsia"/>
          <w:color w:val="auto"/>
          <w:kern w:val="2"/>
          <w:sz w:val="24"/>
          <w:szCs w:val="24"/>
        </w:rPr>
        <w:t>利用盐城广播电视总台所属各类宣传载体以及对外合作资源，多平台、全方位、常态化、立体式进行宣传，包括但不限于以下三种方式。</w:t>
      </w:r>
    </w:p>
    <w:p w14:paraId="7CFBFA90">
      <w:pPr>
        <w:pStyle w:val="15"/>
        <w:spacing w:line="440" w:lineRule="exact"/>
        <w:ind w:firstLine="480" w:firstLineChars="200"/>
        <w:rPr>
          <w:rFonts w:hint="eastAsia"/>
          <w:color w:val="auto"/>
          <w:kern w:val="2"/>
          <w:sz w:val="24"/>
          <w:szCs w:val="24"/>
        </w:rPr>
      </w:pPr>
      <w:r>
        <w:rPr>
          <w:rFonts w:hint="eastAsia"/>
          <w:color w:val="auto"/>
          <w:kern w:val="2"/>
          <w:sz w:val="24"/>
          <w:szCs w:val="24"/>
        </w:rPr>
        <w:t>（一）电视宣传</w:t>
      </w:r>
    </w:p>
    <w:p w14:paraId="69C8517F">
      <w:pPr>
        <w:pStyle w:val="15"/>
        <w:spacing w:line="440" w:lineRule="exact"/>
        <w:ind w:firstLine="480" w:firstLineChars="200"/>
        <w:rPr>
          <w:rFonts w:hint="eastAsia"/>
          <w:color w:val="auto"/>
          <w:kern w:val="2"/>
          <w:sz w:val="24"/>
          <w:szCs w:val="24"/>
        </w:rPr>
      </w:pPr>
      <w:r>
        <w:rPr>
          <w:rFonts w:hint="eastAsia"/>
          <w:color w:val="auto"/>
          <w:kern w:val="2"/>
          <w:sz w:val="24"/>
          <w:szCs w:val="24"/>
        </w:rPr>
        <w:t>1.新闻中心电视《盐城新闻》栏目常态化宣传。</w:t>
      </w:r>
    </w:p>
    <w:p w14:paraId="44EB5C03">
      <w:pPr>
        <w:pStyle w:val="15"/>
        <w:spacing w:line="440" w:lineRule="exact"/>
        <w:ind w:firstLine="480" w:firstLineChars="200"/>
        <w:rPr>
          <w:rFonts w:hint="eastAsia"/>
          <w:color w:val="auto"/>
          <w:kern w:val="2"/>
          <w:sz w:val="24"/>
          <w:szCs w:val="24"/>
        </w:rPr>
      </w:pPr>
      <w:r>
        <w:rPr>
          <w:rFonts w:hint="eastAsia"/>
          <w:color w:val="auto"/>
          <w:kern w:val="2"/>
          <w:sz w:val="24"/>
          <w:szCs w:val="24"/>
        </w:rPr>
        <w:t>《盐城新闻》为日播栏目，每天18:30在电视一套首播，当晚22:00（电视一套）、次日7:30（电视一套）、12：40（电视一套）复播。主要突出宣传市委、市政府关于自然资源和规划的重要会议、重大活动；市自然资源和规划局领导活动、重点会议、行业动态。</w:t>
      </w:r>
    </w:p>
    <w:p w14:paraId="1435C7FE">
      <w:pPr>
        <w:pStyle w:val="15"/>
        <w:spacing w:line="440" w:lineRule="exact"/>
        <w:ind w:firstLine="480" w:firstLineChars="200"/>
        <w:rPr>
          <w:rFonts w:hint="eastAsia"/>
          <w:color w:val="auto"/>
          <w:kern w:val="2"/>
          <w:sz w:val="24"/>
          <w:szCs w:val="24"/>
        </w:rPr>
      </w:pPr>
      <w:r>
        <w:rPr>
          <w:rFonts w:hint="eastAsia"/>
          <w:color w:val="auto"/>
          <w:kern w:val="2"/>
          <w:sz w:val="24"/>
          <w:szCs w:val="24"/>
        </w:rPr>
        <w:t>《聚焦新盐城》栏目同步播出，每天20:35在电视三套首播，次日16:50（电视三套）复播。</w:t>
      </w:r>
    </w:p>
    <w:p w14:paraId="6E461A23">
      <w:pPr>
        <w:pStyle w:val="15"/>
        <w:spacing w:line="440" w:lineRule="exact"/>
        <w:ind w:firstLine="480" w:firstLineChars="200"/>
        <w:rPr>
          <w:rFonts w:hint="eastAsia"/>
          <w:color w:val="auto"/>
          <w:kern w:val="2"/>
          <w:sz w:val="24"/>
          <w:szCs w:val="24"/>
        </w:rPr>
      </w:pPr>
      <w:r>
        <w:rPr>
          <w:rFonts w:hint="eastAsia"/>
          <w:color w:val="auto"/>
          <w:kern w:val="2"/>
          <w:sz w:val="24"/>
          <w:szCs w:val="24"/>
        </w:rPr>
        <w:t>以上宣传内容同步在盐城网、广播栏目和智慧盐城客户端推送。</w:t>
      </w:r>
    </w:p>
    <w:p w14:paraId="126599C4">
      <w:pPr>
        <w:pStyle w:val="15"/>
        <w:spacing w:line="440" w:lineRule="exact"/>
        <w:ind w:firstLine="480" w:firstLineChars="200"/>
        <w:rPr>
          <w:rFonts w:hint="eastAsia"/>
          <w:color w:val="auto"/>
          <w:kern w:val="2"/>
          <w:sz w:val="24"/>
          <w:szCs w:val="24"/>
        </w:rPr>
      </w:pPr>
      <w:r>
        <w:rPr>
          <w:rFonts w:hint="eastAsia"/>
          <w:color w:val="auto"/>
          <w:kern w:val="2"/>
          <w:sz w:val="24"/>
          <w:szCs w:val="24"/>
        </w:rPr>
        <w:t>（二）智慧盐城APP宣传</w:t>
      </w:r>
    </w:p>
    <w:p w14:paraId="5EC8C127">
      <w:pPr>
        <w:pStyle w:val="15"/>
        <w:spacing w:line="440" w:lineRule="exact"/>
        <w:ind w:firstLine="480" w:firstLineChars="200"/>
        <w:rPr>
          <w:rFonts w:hint="eastAsia"/>
          <w:color w:val="auto"/>
          <w:kern w:val="2"/>
          <w:sz w:val="24"/>
          <w:szCs w:val="24"/>
        </w:rPr>
      </w:pPr>
      <w:r>
        <w:rPr>
          <w:rFonts w:hint="eastAsia"/>
          <w:color w:val="auto"/>
          <w:kern w:val="2"/>
          <w:sz w:val="24"/>
          <w:szCs w:val="24"/>
        </w:rPr>
        <w:t>（1）通过后台选取相关新闻上传至专题版块。</w:t>
      </w:r>
    </w:p>
    <w:p w14:paraId="56A6E3E9">
      <w:pPr>
        <w:pStyle w:val="15"/>
        <w:spacing w:line="440" w:lineRule="exact"/>
        <w:ind w:firstLine="480" w:firstLineChars="200"/>
        <w:rPr>
          <w:rFonts w:hint="eastAsia"/>
          <w:color w:val="auto"/>
          <w:kern w:val="2"/>
          <w:sz w:val="24"/>
          <w:szCs w:val="24"/>
        </w:rPr>
      </w:pPr>
      <w:r>
        <w:rPr>
          <w:rFonts w:hint="eastAsia"/>
          <w:color w:val="auto"/>
          <w:kern w:val="2"/>
          <w:sz w:val="24"/>
          <w:szCs w:val="24"/>
        </w:rPr>
        <w:t>（2）为市自然资源和规划局定制的新媒体产品皆上传至专题版块。</w:t>
      </w:r>
    </w:p>
    <w:p w14:paraId="5B824D51">
      <w:pPr>
        <w:pStyle w:val="15"/>
        <w:spacing w:line="440" w:lineRule="exact"/>
        <w:ind w:firstLine="480" w:firstLineChars="200"/>
        <w:rPr>
          <w:rFonts w:hint="eastAsia"/>
          <w:color w:val="auto"/>
          <w:kern w:val="2"/>
          <w:sz w:val="24"/>
          <w:szCs w:val="24"/>
        </w:rPr>
      </w:pPr>
      <w:r>
        <w:rPr>
          <w:rFonts w:hint="eastAsia"/>
          <w:color w:val="auto"/>
          <w:kern w:val="2"/>
          <w:sz w:val="24"/>
          <w:szCs w:val="24"/>
        </w:rPr>
        <w:t>（三）全媒体推广</w:t>
      </w:r>
    </w:p>
    <w:p w14:paraId="30DCF6F1">
      <w:pPr>
        <w:pStyle w:val="15"/>
        <w:spacing w:line="440" w:lineRule="exact"/>
        <w:ind w:firstLine="480" w:firstLineChars="200"/>
        <w:rPr>
          <w:rFonts w:hint="eastAsia"/>
          <w:color w:val="auto"/>
          <w:kern w:val="2"/>
          <w:sz w:val="24"/>
          <w:szCs w:val="24"/>
        </w:rPr>
      </w:pPr>
      <w:r>
        <w:rPr>
          <w:rFonts w:hint="eastAsia"/>
          <w:color w:val="auto"/>
          <w:kern w:val="2"/>
          <w:sz w:val="24"/>
          <w:szCs w:val="24"/>
        </w:rPr>
        <w:t>1、融媒矩阵推动：盐城广电总台旗下全媒体推动，实现视频可看、图文可阅、声音可听、程序可交互分享的复合式立体传播。</w:t>
      </w:r>
    </w:p>
    <w:p w14:paraId="27FA3F36">
      <w:pPr>
        <w:pStyle w:val="15"/>
        <w:spacing w:line="440" w:lineRule="exact"/>
        <w:ind w:firstLine="480" w:firstLineChars="200"/>
        <w:rPr>
          <w:rFonts w:hint="eastAsia"/>
          <w:color w:val="auto"/>
          <w:kern w:val="2"/>
          <w:sz w:val="24"/>
          <w:szCs w:val="24"/>
        </w:rPr>
      </w:pPr>
      <w:r>
        <w:rPr>
          <w:rFonts w:hint="eastAsia"/>
          <w:color w:val="auto"/>
          <w:kern w:val="2"/>
          <w:sz w:val="24"/>
          <w:szCs w:val="24"/>
        </w:rPr>
        <w:t>2、“微抖”推动宣传报道：盐城广电总台旗下全媒体播出内容，在微信公众号和抖音平台不定期通过视频、图文等形式，宣推市自然资源和规划局资讯动态。此外，用好总台“盐城新闻”、“盐视听”等公众号、抖音号，多推宣传精品，增强资源规划工作与市民群众的互动性，让更多人关注支持点赞我市资源规划工作。</w:t>
      </w:r>
    </w:p>
    <w:p w14:paraId="4657D548">
      <w:pPr>
        <w:pStyle w:val="15"/>
        <w:spacing w:line="440" w:lineRule="exact"/>
        <w:ind w:firstLine="480" w:firstLineChars="200"/>
        <w:rPr>
          <w:rFonts w:hint="eastAsia"/>
          <w:color w:val="auto"/>
          <w:kern w:val="2"/>
          <w:sz w:val="24"/>
          <w:szCs w:val="24"/>
        </w:rPr>
      </w:pPr>
      <w:r>
        <w:rPr>
          <w:rFonts w:hint="eastAsia"/>
          <w:color w:val="auto"/>
          <w:kern w:val="2"/>
          <w:sz w:val="24"/>
          <w:szCs w:val="24"/>
        </w:rPr>
        <w:t>二、常态化综合政务宣传</w:t>
      </w:r>
    </w:p>
    <w:p w14:paraId="329DFCC1">
      <w:pPr>
        <w:pStyle w:val="15"/>
        <w:spacing w:line="440" w:lineRule="exact"/>
        <w:ind w:firstLine="480" w:firstLineChars="200"/>
        <w:rPr>
          <w:rFonts w:hint="eastAsia"/>
          <w:color w:val="auto"/>
          <w:kern w:val="2"/>
          <w:sz w:val="24"/>
          <w:szCs w:val="24"/>
        </w:rPr>
      </w:pPr>
      <w:r>
        <w:rPr>
          <w:rFonts w:hint="eastAsia"/>
          <w:color w:val="auto"/>
          <w:kern w:val="2"/>
          <w:sz w:val="24"/>
          <w:szCs w:val="24"/>
        </w:rPr>
        <w:t>实行一揽子政务宣传，内容涵盖市自然资源和规划局组织实施的所有工作，以及由市局层面牵头推动的其他各项工作，主要分为四个方面内容。</w:t>
      </w:r>
    </w:p>
    <w:p w14:paraId="71F64A88">
      <w:pPr>
        <w:pStyle w:val="15"/>
        <w:spacing w:line="440" w:lineRule="exact"/>
        <w:ind w:firstLine="480" w:firstLineChars="200"/>
        <w:rPr>
          <w:rFonts w:hint="eastAsia"/>
          <w:color w:val="auto"/>
          <w:kern w:val="2"/>
          <w:sz w:val="24"/>
          <w:szCs w:val="24"/>
        </w:rPr>
      </w:pPr>
      <w:r>
        <w:rPr>
          <w:rFonts w:hint="eastAsia"/>
          <w:color w:val="auto"/>
          <w:kern w:val="2"/>
          <w:sz w:val="24"/>
          <w:szCs w:val="24"/>
        </w:rPr>
        <w:t>1.日常工作。包括市委市政府领导、市自然资源和规划局领导牵头的有关活动以及各条线组织的会议、开展的业务等日常工作推进情况。</w:t>
      </w:r>
    </w:p>
    <w:p w14:paraId="10963C1E">
      <w:pPr>
        <w:pStyle w:val="15"/>
        <w:spacing w:line="440" w:lineRule="exact"/>
        <w:ind w:firstLine="480" w:firstLineChars="200"/>
        <w:rPr>
          <w:rFonts w:hint="eastAsia"/>
          <w:color w:val="auto"/>
          <w:kern w:val="2"/>
          <w:sz w:val="24"/>
          <w:szCs w:val="24"/>
        </w:rPr>
      </w:pPr>
      <w:r>
        <w:rPr>
          <w:rFonts w:hint="eastAsia"/>
          <w:color w:val="auto"/>
          <w:kern w:val="2"/>
          <w:sz w:val="24"/>
          <w:szCs w:val="24"/>
        </w:rPr>
        <w:t>2.重大活动。在全国两会、市委全会、市“两会”等重要会议，上级领导专题考察自然资源规划工作，以及全市自然资源和规划年度工作会议召开之前，制作微镜头、短视频或专题片，集中展示资源规划工作成效。</w:t>
      </w:r>
    </w:p>
    <w:p w14:paraId="6E8D1659">
      <w:pPr>
        <w:pStyle w:val="15"/>
        <w:spacing w:line="440" w:lineRule="exact"/>
        <w:ind w:firstLine="480" w:firstLineChars="200"/>
        <w:rPr>
          <w:rFonts w:hint="eastAsia"/>
          <w:color w:val="auto"/>
          <w:kern w:val="2"/>
          <w:sz w:val="24"/>
          <w:szCs w:val="24"/>
        </w:rPr>
      </w:pPr>
      <w:r>
        <w:rPr>
          <w:rFonts w:hint="eastAsia"/>
          <w:color w:val="auto"/>
          <w:kern w:val="2"/>
          <w:sz w:val="24"/>
          <w:szCs w:val="24"/>
        </w:rPr>
        <w:t>3.专栏开设。根据需要，实时开设专栏发布海洋灾害、地质灾害防治、森林防火等预测预警信息，以及其他需要向社会公开的各类信息。</w:t>
      </w:r>
    </w:p>
    <w:p w14:paraId="359F512A">
      <w:pPr>
        <w:pStyle w:val="15"/>
        <w:spacing w:line="440" w:lineRule="exact"/>
        <w:ind w:firstLine="480" w:firstLineChars="200"/>
        <w:rPr>
          <w:rFonts w:hint="eastAsia"/>
          <w:color w:val="auto"/>
          <w:kern w:val="2"/>
          <w:sz w:val="24"/>
          <w:szCs w:val="24"/>
        </w:rPr>
      </w:pPr>
      <w:r>
        <w:rPr>
          <w:rFonts w:hint="eastAsia"/>
          <w:color w:val="auto"/>
          <w:kern w:val="2"/>
          <w:sz w:val="24"/>
          <w:szCs w:val="24"/>
        </w:rPr>
        <w:t>4.策划主题系列报道。围绕市自然资源和规划局不同时期的重点工作和需要，策划采制主题系列报道。例如在春季植树造林工作推进期间，开设“春到盐阜 植树有我”专栏，对相关政策进行解读，对各县市区植树造林情况以及全市植树造林工作进度、成效进行深入采访，全方位、立体式宣传报道市自然资源和规划局植树造林等重点工作进展和成就。</w:t>
      </w:r>
    </w:p>
    <w:p w14:paraId="3BF98369">
      <w:pPr>
        <w:pStyle w:val="15"/>
        <w:spacing w:line="440" w:lineRule="exact"/>
        <w:ind w:firstLine="480" w:firstLineChars="200"/>
        <w:rPr>
          <w:rFonts w:hint="eastAsia"/>
          <w:color w:val="auto"/>
          <w:kern w:val="2"/>
          <w:sz w:val="24"/>
          <w:szCs w:val="24"/>
        </w:rPr>
      </w:pPr>
      <w:r>
        <w:rPr>
          <w:rFonts w:hint="eastAsia"/>
          <w:color w:val="auto"/>
          <w:kern w:val="2"/>
          <w:sz w:val="24"/>
          <w:szCs w:val="24"/>
        </w:rPr>
        <w:t>5.图文、微视频制作</w:t>
      </w:r>
    </w:p>
    <w:p w14:paraId="6E333419">
      <w:pPr>
        <w:spacing w:line="440" w:lineRule="exact"/>
        <w:ind w:firstLine="480" w:firstLineChars="200"/>
        <w:jc w:val="left"/>
        <w:rPr>
          <w:rFonts w:hint="eastAsia" w:ascii="宋体" w:hAnsi="宋体" w:eastAsia="宋体" w:cs="宋体"/>
          <w:sz w:val="24"/>
        </w:rPr>
      </w:pPr>
      <w:r>
        <w:rPr>
          <w:rFonts w:hint="eastAsia" w:ascii="宋体" w:hAnsi="宋体" w:eastAsia="宋体" w:cs="宋体"/>
          <w:sz w:val="24"/>
        </w:rPr>
        <w:t xml:space="preserve"> 微视频：根据宣传需要，为市自然资源和规划局策划拍摄制作新闻类、科普类微视频。在盐城听、智慧盐城APP、盐城市自然资源和规划局官方微信视频号发布。</w:t>
      </w:r>
    </w:p>
    <w:p w14:paraId="3D62A4EF">
      <w:pPr>
        <w:pStyle w:val="15"/>
        <w:spacing w:line="440" w:lineRule="exact"/>
        <w:ind w:firstLine="480" w:firstLineChars="200"/>
        <w:rPr>
          <w:rFonts w:hint="eastAsia"/>
        </w:rPr>
      </w:pPr>
      <w:r>
        <w:rPr>
          <w:rFonts w:hint="eastAsia"/>
          <w:color w:val="auto"/>
          <w:kern w:val="2"/>
          <w:sz w:val="24"/>
          <w:szCs w:val="24"/>
        </w:rPr>
        <w:t xml:space="preserve"> PPT制作：根据市自然资源和规划局需求，提供专门PPT演示文稿制作。</w:t>
      </w:r>
    </w:p>
    <w:p w14:paraId="0C5E366D">
      <w:pPr>
        <w:pStyle w:val="16"/>
        <w:spacing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6.专题片制作</w:t>
      </w:r>
    </w:p>
    <w:p w14:paraId="155A9FA9">
      <w:pPr>
        <w:pStyle w:val="15"/>
        <w:spacing w:line="440" w:lineRule="exact"/>
        <w:ind w:firstLine="480" w:firstLineChars="200"/>
        <w:rPr>
          <w:rFonts w:hint="eastAsia"/>
          <w:color w:val="auto"/>
          <w:kern w:val="2"/>
          <w:sz w:val="24"/>
          <w:szCs w:val="24"/>
        </w:rPr>
      </w:pPr>
      <w:r>
        <w:rPr>
          <w:rFonts w:hint="eastAsia"/>
          <w:color w:val="auto"/>
          <w:kern w:val="2"/>
          <w:sz w:val="24"/>
          <w:szCs w:val="24"/>
        </w:rPr>
        <w:t>围绕年度重点工作、亮点工作，盐城广播电视总台新闻中心将组织力量在年底制作年度工作总结专题片，片长十分钟左右。</w:t>
      </w:r>
    </w:p>
    <w:p w14:paraId="50ABC260">
      <w:pPr>
        <w:pStyle w:val="15"/>
        <w:spacing w:line="440" w:lineRule="exact"/>
        <w:ind w:firstLine="480" w:firstLineChars="200"/>
        <w:rPr>
          <w:rFonts w:hint="eastAsia"/>
          <w:color w:val="auto"/>
          <w:kern w:val="2"/>
          <w:sz w:val="24"/>
          <w:szCs w:val="24"/>
        </w:rPr>
      </w:pPr>
      <w:r>
        <w:rPr>
          <w:rFonts w:hint="eastAsia"/>
          <w:color w:val="auto"/>
          <w:kern w:val="2"/>
          <w:sz w:val="24"/>
          <w:szCs w:val="24"/>
        </w:rPr>
        <w:t>7.对外推广</w:t>
      </w:r>
    </w:p>
    <w:p w14:paraId="684CCE9D">
      <w:pPr>
        <w:pStyle w:val="15"/>
        <w:spacing w:line="440" w:lineRule="exact"/>
        <w:ind w:firstLine="480" w:firstLineChars="200"/>
        <w:rPr>
          <w:rFonts w:hint="eastAsia"/>
          <w:color w:val="auto"/>
          <w:kern w:val="2"/>
          <w:sz w:val="24"/>
          <w:szCs w:val="24"/>
        </w:rPr>
      </w:pPr>
      <w:r>
        <w:rPr>
          <w:rFonts w:hint="eastAsia"/>
          <w:color w:val="auto"/>
          <w:kern w:val="2"/>
          <w:sz w:val="24"/>
          <w:szCs w:val="24"/>
        </w:rPr>
        <w:t>盐城广播电视总台新闻中心、广播传媒中心、融媒体中心与中央广播电视总台、省广播电视总台、央广网、央视频、人民日报新媒体、澎湃新闻、东方网等上级新媒体平台常年保持良好的合作关系。对于盐城市自然资源和规划局的重要新闻、重大活动，将积极向上级媒体推送发布，进一步提升宣传质量和宣传效果。</w:t>
      </w:r>
    </w:p>
    <w:p w14:paraId="659F52E5">
      <w:pPr>
        <w:pStyle w:val="15"/>
        <w:spacing w:line="440" w:lineRule="exact"/>
        <w:ind w:firstLine="480" w:firstLineChars="200"/>
        <w:rPr>
          <w:rFonts w:hint="eastAsia"/>
          <w:color w:val="auto"/>
          <w:kern w:val="2"/>
          <w:sz w:val="24"/>
          <w:szCs w:val="24"/>
        </w:rPr>
      </w:pPr>
      <w:r>
        <w:rPr>
          <w:rFonts w:hint="eastAsia"/>
          <w:color w:val="auto"/>
          <w:kern w:val="2"/>
          <w:sz w:val="24"/>
          <w:szCs w:val="24"/>
        </w:rPr>
        <w:t>8.其他。根据局领导和办公室要求，全年积极配合做好各方面宣传、采访、录制、制作、发布等方面工作。</w:t>
      </w:r>
    </w:p>
    <w:p w14:paraId="414579CF">
      <w:pPr>
        <w:pStyle w:val="15"/>
        <w:spacing w:line="440" w:lineRule="exact"/>
        <w:ind w:firstLine="480"/>
        <w:rPr>
          <w:rFonts w:hint="eastAsia"/>
          <w:sz w:val="24"/>
          <w:szCs w:val="24"/>
        </w:rPr>
      </w:pPr>
      <w:r>
        <w:rPr>
          <w:rFonts w:hint="eastAsia"/>
          <w:color w:val="auto"/>
          <w:sz w:val="24"/>
          <w:szCs w:val="24"/>
          <w:lang w:val="en-US" w:eastAsia="zh-CN"/>
        </w:rPr>
        <w:t>三</w:t>
      </w:r>
      <w:r>
        <w:rPr>
          <w:rFonts w:hint="eastAsia"/>
          <w:sz w:val="24"/>
          <w:szCs w:val="24"/>
        </w:rPr>
        <w:t>、合作分工</w:t>
      </w:r>
    </w:p>
    <w:p w14:paraId="215EDF94">
      <w:pPr>
        <w:pStyle w:val="15"/>
        <w:spacing w:line="440" w:lineRule="exact"/>
        <w:ind w:firstLine="480"/>
        <w:rPr>
          <w:rFonts w:hint="eastAsia"/>
          <w:sz w:val="24"/>
          <w:szCs w:val="24"/>
        </w:rPr>
      </w:pPr>
      <w:r>
        <w:rPr>
          <w:rFonts w:hint="eastAsia"/>
          <w:sz w:val="24"/>
          <w:szCs w:val="24"/>
        </w:rPr>
        <w:t>市自然资源和规划局负责提供宣传重点、新闻素材、采访对接、车辆安排以及后勤保障等事宜。盐城广播电视总台负责安排骨干人员进行新闻宣传、报道策划，并保存全部影像资料，定期统计用稿目录、数量及影像资料提交甲方备案保存。合作期间，形成的宣传报道及影像资料版权归市自然资源和规划局所有。</w:t>
      </w:r>
    </w:p>
    <w:p w14:paraId="4FB40163">
      <w:pPr>
        <w:pStyle w:val="15"/>
        <w:spacing w:line="440" w:lineRule="exact"/>
        <w:ind w:firstLine="480"/>
        <w:rPr>
          <w:rFonts w:hint="eastAsia"/>
          <w:sz w:val="24"/>
          <w:szCs w:val="24"/>
        </w:rPr>
      </w:pPr>
      <w:r>
        <w:rPr>
          <w:rFonts w:hint="eastAsia"/>
          <w:sz w:val="24"/>
          <w:szCs w:val="24"/>
        </w:rPr>
        <w:t>合作期间，盐城广播电视总台与市自然资源和规划局共同组织的所有宣传报道必须经过市自然资源和规划局审查同意后方可发布；盐城广播电视总台所属各类宣传平台在双方合作框架之外，采编的新闻报道或视讯信息涉及到全市自然资源和规划管理负面舆情的，应当主动与市自然资源和规划局核实情况，确保报道公正客观、实事求是。</w:t>
      </w:r>
    </w:p>
    <w:tbl>
      <w:tblPr>
        <w:tblStyle w:val="11"/>
        <w:tblW w:w="5116"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3629"/>
        <w:gridCol w:w="3139"/>
        <w:gridCol w:w="1172"/>
      </w:tblGrid>
      <w:tr w14:paraId="75F0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5000" w:type="pct"/>
            <w:gridSpan w:val="4"/>
            <w:tcBorders>
              <w:top w:val="nil"/>
              <w:left w:val="nil"/>
              <w:bottom w:val="single" w:color="auto" w:sz="4" w:space="0"/>
              <w:right w:val="nil"/>
            </w:tcBorders>
            <w:vAlign w:val="center"/>
          </w:tcPr>
          <w:p w14:paraId="75A2F733">
            <w:pPr>
              <w:jc w:val="left"/>
              <w:rPr>
                <w:rFonts w:ascii="Times New Roman" w:hAnsi="Times New Roman" w:eastAsia="黑体" w:cs="Times New Roman"/>
                <w:bCs/>
                <w:kern w:val="0"/>
                <w:sz w:val="32"/>
                <w:szCs w:val="32"/>
              </w:rPr>
            </w:pPr>
          </w:p>
          <w:p w14:paraId="07F24FEC">
            <w:pPr>
              <w:jc w:val="center"/>
              <w:rPr>
                <w:rFonts w:ascii="Times New Roman" w:hAnsi="Times New Roman" w:eastAsia="方正小标宋简体" w:cs="Times New Roman"/>
                <w:bCs/>
                <w:kern w:val="0"/>
                <w:sz w:val="32"/>
                <w:szCs w:val="32"/>
              </w:rPr>
            </w:pPr>
            <w:r>
              <w:rPr>
                <w:rFonts w:hint="eastAsia" w:ascii="Times New Roman" w:hAnsi="Times New Roman" w:eastAsia="方正小标宋简体" w:cs="Times New Roman"/>
                <w:bCs/>
                <w:kern w:val="0"/>
                <w:sz w:val="32"/>
                <w:szCs w:val="32"/>
              </w:rPr>
              <w:t>盐城市广播电视总台宣传项目清单</w:t>
            </w:r>
          </w:p>
        </w:tc>
      </w:tr>
      <w:tr w14:paraId="34EB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47" w:type="pct"/>
            <w:tcBorders>
              <w:top w:val="single" w:color="auto" w:sz="4" w:space="0"/>
              <w:left w:val="single" w:color="auto" w:sz="4" w:space="0"/>
              <w:bottom w:val="single" w:color="auto" w:sz="4" w:space="0"/>
              <w:right w:val="single" w:color="auto" w:sz="4" w:space="0"/>
            </w:tcBorders>
            <w:vAlign w:val="center"/>
          </w:tcPr>
          <w:p w14:paraId="334A7EC5">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序号</w:t>
            </w:r>
          </w:p>
        </w:tc>
        <w:tc>
          <w:tcPr>
            <w:tcW w:w="2081" w:type="pct"/>
            <w:tcBorders>
              <w:top w:val="single" w:color="auto" w:sz="4" w:space="0"/>
              <w:left w:val="single" w:color="auto" w:sz="4" w:space="0"/>
              <w:bottom w:val="single" w:color="auto" w:sz="4" w:space="0"/>
              <w:right w:val="single" w:color="auto" w:sz="4" w:space="0"/>
            </w:tcBorders>
            <w:vAlign w:val="center"/>
          </w:tcPr>
          <w:p w14:paraId="4BEE179E">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宣传项目</w:t>
            </w:r>
          </w:p>
        </w:tc>
        <w:tc>
          <w:tcPr>
            <w:tcW w:w="1800" w:type="pct"/>
            <w:tcBorders>
              <w:top w:val="single" w:color="auto" w:sz="4" w:space="0"/>
              <w:left w:val="single" w:color="auto" w:sz="4" w:space="0"/>
              <w:bottom w:val="single" w:color="auto" w:sz="4" w:space="0"/>
              <w:right w:val="single" w:color="auto" w:sz="4" w:space="0"/>
            </w:tcBorders>
            <w:vAlign w:val="center"/>
          </w:tcPr>
          <w:p w14:paraId="080CF041">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目标任务</w:t>
            </w:r>
          </w:p>
        </w:tc>
        <w:tc>
          <w:tcPr>
            <w:tcW w:w="670" w:type="pct"/>
            <w:tcBorders>
              <w:top w:val="single" w:color="auto" w:sz="4" w:space="0"/>
              <w:left w:val="single" w:color="auto" w:sz="4" w:space="0"/>
              <w:bottom w:val="single" w:color="auto" w:sz="4" w:space="0"/>
              <w:right w:val="single" w:color="auto" w:sz="4" w:space="0"/>
            </w:tcBorders>
            <w:vAlign w:val="center"/>
          </w:tcPr>
          <w:p w14:paraId="736997A5">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备</w:t>
            </w:r>
            <w:r>
              <w:rPr>
                <w:rFonts w:ascii="Times New Roman" w:hAnsi="Times New Roman" w:eastAsia="黑体" w:cs="Times New Roman"/>
                <w:bCs/>
                <w:kern w:val="0"/>
                <w:sz w:val="28"/>
                <w:szCs w:val="28"/>
              </w:rPr>
              <w:t xml:space="preserve"> </w:t>
            </w:r>
            <w:r>
              <w:rPr>
                <w:rFonts w:hint="eastAsia" w:ascii="Times New Roman" w:hAnsi="Times New Roman" w:eastAsia="黑体" w:cs="Times New Roman"/>
                <w:bCs/>
                <w:kern w:val="0"/>
                <w:sz w:val="28"/>
                <w:szCs w:val="28"/>
              </w:rPr>
              <w:t>注</w:t>
            </w:r>
          </w:p>
        </w:tc>
      </w:tr>
      <w:tr w14:paraId="34C2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447" w:type="pct"/>
            <w:tcBorders>
              <w:top w:val="single" w:color="auto" w:sz="4" w:space="0"/>
              <w:left w:val="single" w:color="auto" w:sz="4" w:space="0"/>
              <w:bottom w:val="single" w:color="auto" w:sz="4" w:space="0"/>
              <w:right w:val="single" w:color="auto" w:sz="4" w:space="0"/>
            </w:tcBorders>
            <w:vAlign w:val="center"/>
          </w:tcPr>
          <w:p w14:paraId="4C32E4B5">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w:t>
            </w:r>
          </w:p>
        </w:tc>
        <w:tc>
          <w:tcPr>
            <w:tcW w:w="2081" w:type="pct"/>
            <w:tcBorders>
              <w:top w:val="single" w:color="auto" w:sz="4" w:space="0"/>
              <w:left w:val="single" w:color="auto" w:sz="4" w:space="0"/>
              <w:bottom w:val="single" w:color="auto" w:sz="4" w:space="0"/>
              <w:right w:val="single" w:color="auto" w:sz="4" w:space="0"/>
            </w:tcBorders>
            <w:vAlign w:val="center"/>
          </w:tcPr>
          <w:p w14:paraId="577CDF80">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常态化综合政务宣传（两保一优重点工作任务）</w:t>
            </w:r>
          </w:p>
        </w:tc>
        <w:tc>
          <w:tcPr>
            <w:tcW w:w="1800" w:type="pct"/>
            <w:tcBorders>
              <w:top w:val="single" w:color="auto" w:sz="4" w:space="0"/>
              <w:left w:val="single" w:color="auto" w:sz="4" w:space="0"/>
              <w:bottom w:val="single" w:color="auto" w:sz="4" w:space="0"/>
              <w:right w:val="single" w:color="auto" w:sz="4" w:space="0"/>
            </w:tcBorders>
            <w:vAlign w:val="center"/>
          </w:tcPr>
          <w:p w14:paraId="6C9712FB">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hint="eastAsia" w:ascii="Times New Roman" w:hAnsi="Times New Roman" w:eastAsia="仿宋" w:cs="Times New Roman"/>
                <w:bCs/>
                <w:color w:val="auto"/>
                <w:kern w:val="0"/>
                <w:sz w:val="28"/>
                <w:szCs w:val="28"/>
                <w:lang w:val="en-US" w:eastAsia="zh-CN"/>
              </w:rPr>
              <w:t>8</w:t>
            </w:r>
            <w:r>
              <w:rPr>
                <w:rFonts w:hint="eastAsia" w:ascii="Times New Roman" w:hAnsi="Times New Roman" w:eastAsia="仿宋" w:cs="Times New Roman"/>
                <w:bCs/>
                <w:color w:val="auto"/>
                <w:kern w:val="0"/>
                <w:sz w:val="28"/>
                <w:szCs w:val="28"/>
              </w:rPr>
              <w:t>0</w:t>
            </w:r>
            <w:r>
              <w:rPr>
                <w:rFonts w:hint="eastAsia" w:ascii="Times New Roman" w:hAnsi="Times New Roman" w:eastAsia="仿宋" w:cs="Times New Roman"/>
                <w:bCs/>
                <w:kern w:val="0"/>
                <w:sz w:val="28"/>
                <w:szCs w:val="28"/>
              </w:rPr>
              <w:t>条</w:t>
            </w:r>
          </w:p>
        </w:tc>
        <w:tc>
          <w:tcPr>
            <w:tcW w:w="670" w:type="pct"/>
            <w:tcBorders>
              <w:top w:val="single" w:color="auto" w:sz="4" w:space="0"/>
              <w:left w:val="single" w:color="auto" w:sz="4" w:space="0"/>
              <w:bottom w:val="single" w:color="auto" w:sz="4" w:space="0"/>
              <w:right w:val="single" w:color="auto" w:sz="4" w:space="0"/>
            </w:tcBorders>
            <w:vAlign w:val="center"/>
          </w:tcPr>
          <w:p w14:paraId="7AC00D15">
            <w:pPr>
              <w:spacing w:line="400" w:lineRule="exact"/>
              <w:jc w:val="left"/>
              <w:rPr>
                <w:rFonts w:ascii="Times New Roman" w:hAnsi="Times New Roman" w:eastAsia="仿宋" w:cs="Times New Roman"/>
                <w:bCs/>
                <w:kern w:val="0"/>
                <w:sz w:val="28"/>
                <w:szCs w:val="28"/>
              </w:rPr>
            </w:pPr>
          </w:p>
        </w:tc>
      </w:tr>
      <w:tr w14:paraId="6836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447" w:type="pct"/>
            <w:tcBorders>
              <w:top w:val="single" w:color="auto" w:sz="4" w:space="0"/>
              <w:left w:val="single" w:color="auto" w:sz="4" w:space="0"/>
              <w:bottom w:val="single" w:color="auto" w:sz="4" w:space="0"/>
              <w:right w:val="single" w:color="auto" w:sz="4" w:space="0"/>
            </w:tcBorders>
            <w:vAlign w:val="center"/>
          </w:tcPr>
          <w:p w14:paraId="3319610F">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2</w:t>
            </w:r>
          </w:p>
        </w:tc>
        <w:tc>
          <w:tcPr>
            <w:tcW w:w="2081" w:type="pct"/>
            <w:tcBorders>
              <w:top w:val="single" w:color="auto" w:sz="4" w:space="0"/>
              <w:left w:val="single" w:color="auto" w:sz="4" w:space="0"/>
              <w:bottom w:val="single" w:color="auto" w:sz="4" w:space="0"/>
              <w:right w:val="single" w:color="auto" w:sz="4" w:space="0"/>
            </w:tcBorders>
            <w:vAlign w:val="center"/>
          </w:tcPr>
          <w:p w14:paraId="6FAD413B">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微视频（盐城听、盐城新闻视频号、智慧盐城</w:t>
            </w:r>
            <w:r>
              <w:rPr>
                <w:rFonts w:ascii="Times New Roman" w:hAnsi="Times New Roman" w:eastAsia="仿宋" w:cs="Times New Roman"/>
                <w:bCs/>
                <w:kern w:val="0"/>
                <w:sz w:val="28"/>
                <w:szCs w:val="28"/>
              </w:rPr>
              <w:t>APP</w:t>
            </w:r>
            <w:r>
              <w:rPr>
                <w:rFonts w:hint="eastAsia" w:ascii="Times New Roman" w:hAnsi="Times New Roman" w:eastAsia="仿宋" w:cs="Times New Roman"/>
                <w:bCs/>
                <w:kern w:val="0"/>
                <w:sz w:val="28"/>
                <w:szCs w:val="28"/>
              </w:rPr>
              <w:t>等）</w:t>
            </w:r>
          </w:p>
        </w:tc>
        <w:tc>
          <w:tcPr>
            <w:tcW w:w="1800" w:type="pct"/>
            <w:tcBorders>
              <w:top w:val="single" w:color="auto" w:sz="4" w:space="0"/>
              <w:left w:val="single" w:color="auto" w:sz="4" w:space="0"/>
              <w:bottom w:val="single" w:color="auto" w:sz="4" w:space="0"/>
              <w:right w:val="single" w:color="auto" w:sz="4" w:space="0"/>
            </w:tcBorders>
            <w:vAlign w:val="center"/>
          </w:tcPr>
          <w:p w14:paraId="64AC6AE5">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hint="eastAsia" w:ascii="Times New Roman" w:hAnsi="Times New Roman" w:eastAsia="仿宋" w:cs="Times New Roman"/>
                <w:bCs/>
                <w:color w:val="FF0000"/>
                <w:kern w:val="0"/>
                <w:sz w:val="28"/>
                <w:szCs w:val="28"/>
                <w:lang w:val="en-US" w:eastAsia="zh-CN"/>
              </w:rPr>
              <w:t>8</w:t>
            </w:r>
            <w:r>
              <w:rPr>
                <w:rFonts w:hint="eastAsia" w:ascii="Times New Roman" w:hAnsi="Times New Roman" w:eastAsia="仿宋" w:cs="Times New Roman"/>
                <w:bCs/>
                <w:kern w:val="0"/>
                <w:sz w:val="28"/>
                <w:szCs w:val="28"/>
              </w:rPr>
              <w:t>条</w:t>
            </w:r>
          </w:p>
        </w:tc>
        <w:tc>
          <w:tcPr>
            <w:tcW w:w="670" w:type="pct"/>
            <w:tcBorders>
              <w:top w:val="single" w:color="auto" w:sz="4" w:space="0"/>
              <w:left w:val="single" w:color="auto" w:sz="4" w:space="0"/>
              <w:bottom w:val="single" w:color="auto" w:sz="4" w:space="0"/>
              <w:right w:val="single" w:color="auto" w:sz="4" w:space="0"/>
            </w:tcBorders>
            <w:vAlign w:val="center"/>
          </w:tcPr>
          <w:p w14:paraId="458DB3C6">
            <w:pPr>
              <w:spacing w:line="400" w:lineRule="exact"/>
              <w:jc w:val="left"/>
              <w:rPr>
                <w:rFonts w:ascii="Times New Roman" w:hAnsi="Times New Roman" w:eastAsia="仿宋" w:cs="Times New Roman"/>
                <w:bCs/>
                <w:kern w:val="0"/>
                <w:sz w:val="28"/>
                <w:szCs w:val="28"/>
              </w:rPr>
            </w:pPr>
          </w:p>
        </w:tc>
      </w:tr>
      <w:tr w14:paraId="1DB2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47" w:type="pct"/>
            <w:tcBorders>
              <w:top w:val="single" w:color="auto" w:sz="4" w:space="0"/>
              <w:left w:val="single" w:color="auto" w:sz="4" w:space="0"/>
              <w:bottom w:val="single" w:color="auto" w:sz="4" w:space="0"/>
              <w:right w:val="single" w:color="auto" w:sz="4" w:space="0"/>
            </w:tcBorders>
            <w:vAlign w:val="center"/>
          </w:tcPr>
          <w:p w14:paraId="10898A51">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3</w:t>
            </w:r>
          </w:p>
        </w:tc>
        <w:tc>
          <w:tcPr>
            <w:tcW w:w="2081" w:type="pct"/>
            <w:tcBorders>
              <w:top w:val="single" w:color="auto" w:sz="4" w:space="0"/>
              <w:left w:val="single" w:color="auto" w:sz="4" w:space="0"/>
              <w:bottom w:val="single" w:color="auto" w:sz="4" w:space="0"/>
              <w:right w:val="single" w:color="auto" w:sz="4" w:space="0"/>
            </w:tcBorders>
            <w:vAlign w:val="center"/>
          </w:tcPr>
          <w:p w14:paraId="078C0F02">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专题片（</w:t>
            </w:r>
            <w:r>
              <w:rPr>
                <w:rFonts w:ascii="Times New Roman" w:hAnsi="Times New Roman" w:eastAsia="仿宋" w:cs="Times New Roman"/>
                <w:bCs/>
                <w:kern w:val="0"/>
                <w:sz w:val="28"/>
                <w:szCs w:val="28"/>
              </w:rPr>
              <w:t>10</w:t>
            </w:r>
            <w:r>
              <w:rPr>
                <w:rFonts w:hint="eastAsia" w:ascii="Times New Roman" w:hAnsi="Times New Roman" w:eastAsia="仿宋" w:cs="Times New Roman"/>
                <w:bCs/>
                <w:kern w:val="0"/>
                <w:sz w:val="28"/>
                <w:szCs w:val="28"/>
              </w:rPr>
              <w:t>分钟）</w:t>
            </w:r>
          </w:p>
        </w:tc>
        <w:tc>
          <w:tcPr>
            <w:tcW w:w="1800" w:type="pct"/>
            <w:tcBorders>
              <w:top w:val="single" w:color="auto" w:sz="4" w:space="0"/>
              <w:left w:val="single" w:color="auto" w:sz="4" w:space="0"/>
              <w:bottom w:val="single" w:color="auto" w:sz="4" w:space="0"/>
              <w:right w:val="single" w:color="auto" w:sz="4" w:space="0"/>
            </w:tcBorders>
            <w:vAlign w:val="center"/>
          </w:tcPr>
          <w:p w14:paraId="23288171">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资规工作宣传片</w:t>
            </w:r>
          </w:p>
        </w:tc>
        <w:tc>
          <w:tcPr>
            <w:tcW w:w="670" w:type="pct"/>
            <w:tcBorders>
              <w:top w:val="single" w:color="auto" w:sz="4" w:space="0"/>
              <w:left w:val="single" w:color="auto" w:sz="4" w:space="0"/>
              <w:bottom w:val="single" w:color="auto" w:sz="4" w:space="0"/>
              <w:right w:val="single" w:color="auto" w:sz="4" w:space="0"/>
            </w:tcBorders>
            <w:vAlign w:val="center"/>
          </w:tcPr>
          <w:p w14:paraId="63FA8AFD">
            <w:pPr>
              <w:spacing w:line="400" w:lineRule="exact"/>
              <w:jc w:val="left"/>
              <w:rPr>
                <w:rFonts w:ascii="Times New Roman" w:hAnsi="Times New Roman" w:eastAsia="仿宋" w:cs="Times New Roman"/>
                <w:bCs/>
                <w:kern w:val="0"/>
                <w:sz w:val="28"/>
                <w:szCs w:val="28"/>
              </w:rPr>
            </w:pPr>
          </w:p>
        </w:tc>
      </w:tr>
      <w:tr w14:paraId="49B7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447" w:type="pct"/>
            <w:tcBorders>
              <w:top w:val="single" w:color="auto" w:sz="4" w:space="0"/>
              <w:left w:val="single" w:color="auto" w:sz="4" w:space="0"/>
              <w:bottom w:val="single" w:color="auto" w:sz="4" w:space="0"/>
              <w:right w:val="single" w:color="auto" w:sz="4" w:space="0"/>
            </w:tcBorders>
            <w:vAlign w:val="center"/>
          </w:tcPr>
          <w:p w14:paraId="7677A223">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4</w:t>
            </w:r>
          </w:p>
        </w:tc>
        <w:tc>
          <w:tcPr>
            <w:tcW w:w="2081" w:type="pct"/>
            <w:tcBorders>
              <w:top w:val="single" w:color="auto" w:sz="4" w:space="0"/>
              <w:left w:val="single" w:color="auto" w:sz="4" w:space="0"/>
              <w:bottom w:val="single" w:color="auto" w:sz="4" w:space="0"/>
              <w:right w:val="single" w:color="auto" w:sz="4" w:space="0"/>
            </w:tcBorders>
            <w:vAlign w:val="center"/>
          </w:tcPr>
          <w:p w14:paraId="66942042">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外宣推介（省台、中央广播电视总台、东方卫视、澎湃新闻等）</w:t>
            </w:r>
          </w:p>
        </w:tc>
        <w:tc>
          <w:tcPr>
            <w:tcW w:w="1800" w:type="pct"/>
            <w:tcBorders>
              <w:top w:val="single" w:color="auto" w:sz="4" w:space="0"/>
              <w:left w:val="single" w:color="auto" w:sz="4" w:space="0"/>
              <w:bottom w:val="single" w:color="auto" w:sz="4" w:space="0"/>
              <w:right w:val="single" w:color="auto" w:sz="4" w:space="0"/>
            </w:tcBorders>
            <w:vAlign w:val="center"/>
          </w:tcPr>
          <w:p w14:paraId="5BA67471">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5</w:t>
            </w:r>
            <w:r>
              <w:rPr>
                <w:rFonts w:hint="eastAsia" w:ascii="Times New Roman" w:hAnsi="Times New Roman" w:eastAsia="仿宋" w:cs="Times New Roman"/>
                <w:bCs/>
                <w:kern w:val="0"/>
                <w:sz w:val="28"/>
                <w:szCs w:val="28"/>
              </w:rPr>
              <w:t>条</w:t>
            </w:r>
          </w:p>
        </w:tc>
        <w:tc>
          <w:tcPr>
            <w:tcW w:w="670" w:type="pct"/>
            <w:tcBorders>
              <w:top w:val="single" w:color="auto" w:sz="4" w:space="0"/>
              <w:left w:val="single" w:color="auto" w:sz="4" w:space="0"/>
              <w:bottom w:val="single" w:color="auto" w:sz="4" w:space="0"/>
              <w:right w:val="single" w:color="auto" w:sz="4" w:space="0"/>
            </w:tcBorders>
            <w:vAlign w:val="center"/>
          </w:tcPr>
          <w:p w14:paraId="1BCE058B">
            <w:pPr>
              <w:spacing w:line="400" w:lineRule="exact"/>
              <w:jc w:val="left"/>
              <w:rPr>
                <w:rFonts w:ascii="Times New Roman" w:hAnsi="Times New Roman" w:eastAsia="仿宋" w:cs="Times New Roman"/>
                <w:bCs/>
                <w:kern w:val="0"/>
                <w:sz w:val="28"/>
                <w:szCs w:val="28"/>
              </w:rPr>
            </w:pPr>
          </w:p>
        </w:tc>
      </w:tr>
      <w:tr w14:paraId="2387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447" w:type="pct"/>
            <w:tcBorders>
              <w:top w:val="single" w:color="auto" w:sz="4" w:space="0"/>
              <w:left w:val="single" w:color="auto" w:sz="4" w:space="0"/>
              <w:bottom w:val="single" w:color="auto" w:sz="4" w:space="0"/>
              <w:right w:val="single" w:color="auto" w:sz="4" w:space="0"/>
            </w:tcBorders>
            <w:vAlign w:val="center"/>
          </w:tcPr>
          <w:p w14:paraId="1D01F5EC">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5</w:t>
            </w:r>
          </w:p>
        </w:tc>
        <w:tc>
          <w:tcPr>
            <w:tcW w:w="2081" w:type="pct"/>
            <w:tcBorders>
              <w:top w:val="single" w:color="auto" w:sz="4" w:space="0"/>
              <w:left w:val="single" w:color="auto" w:sz="4" w:space="0"/>
              <w:bottom w:val="single" w:color="auto" w:sz="4" w:space="0"/>
              <w:right w:val="single" w:color="auto" w:sz="4" w:space="0"/>
            </w:tcBorders>
            <w:vAlign w:val="center"/>
          </w:tcPr>
          <w:p w14:paraId="6F440EC3">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专栏报道（根据需要策划制作）</w:t>
            </w:r>
          </w:p>
        </w:tc>
        <w:tc>
          <w:tcPr>
            <w:tcW w:w="1800" w:type="pct"/>
            <w:tcBorders>
              <w:top w:val="single" w:color="auto" w:sz="4" w:space="0"/>
              <w:left w:val="single" w:color="auto" w:sz="4" w:space="0"/>
              <w:bottom w:val="single" w:color="auto" w:sz="4" w:space="0"/>
              <w:right w:val="single" w:color="auto" w:sz="4" w:space="0"/>
            </w:tcBorders>
            <w:vAlign w:val="center"/>
          </w:tcPr>
          <w:p w14:paraId="20F7393E">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w:t>
            </w:r>
            <w:r>
              <w:rPr>
                <w:rFonts w:hint="eastAsia" w:ascii="Times New Roman" w:hAnsi="Times New Roman" w:eastAsia="仿宋" w:cs="Times New Roman"/>
                <w:bCs/>
                <w:kern w:val="0"/>
                <w:sz w:val="28"/>
                <w:szCs w:val="28"/>
              </w:rPr>
              <w:t>个</w:t>
            </w:r>
          </w:p>
        </w:tc>
        <w:tc>
          <w:tcPr>
            <w:tcW w:w="670" w:type="pct"/>
            <w:tcBorders>
              <w:top w:val="single" w:color="auto" w:sz="4" w:space="0"/>
              <w:left w:val="single" w:color="auto" w:sz="4" w:space="0"/>
              <w:bottom w:val="single" w:color="auto" w:sz="4" w:space="0"/>
              <w:right w:val="single" w:color="auto" w:sz="4" w:space="0"/>
            </w:tcBorders>
            <w:vAlign w:val="center"/>
          </w:tcPr>
          <w:p w14:paraId="475BB04D">
            <w:pPr>
              <w:spacing w:line="400" w:lineRule="exact"/>
              <w:jc w:val="left"/>
              <w:rPr>
                <w:rFonts w:ascii="Times New Roman" w:hAnsi="Times New Roman" w:eastAsia="仿宋" w:cs="Times New Roman"/>
                <w:bCs/>
                <w:kern w:val="0"/>
                <w:sz w:val="28"/>
                <w:szCs w:val="28"/>
              </w:rPr>
            </w:pPr>
          </w:p>
        </w:tc>
      </w:tr>
      <w:tr w14:paraId="554F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447" w:type="pct"/>
            <w:tcBorders>
              <w:top w:val="single" w:color="auto" w:sz="4" w:space="0"/>
              <w:left w:val="single" w:color="auto" w:sz="4" w:space="0"/>
              <w:bottom w:val="single" w:color="auto" w:sz="4" w:space="0"/>
              <w:right w:val="single" w:color="auto" w:sz="4" w:space="0"/>
            </w:tcBorders>
            <w:vAlign w:val="center"/>
          </w:tcPr>
          <w:p w14:paraId="1B1433D0">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6</w:t>
            </w:r>
          </w:p>
        </w:tc>
        <w:tc>
          <w:tcPr>
            <w:tcW w:w="2081" w:type="pct"/>
            <w:tcBorders>
              <w:top w:val="single" w:color="auto" w:sz="4" w:space="0"/>
              <w:left w:val="single" w:color="auto" w:sz="4" w:space="0"/>
              <w:bottom w:val="single" w:color="auto" w:sz="4" w:space="0"/>
              <w:right w:val="single" w:color="auto" w:sz="4" w:space="0"/>
            </w:tcBorders>
            <w:vAlign w:val="center"/>
          </w:tcPr>
          <w:p w14:paraId="7114734C">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高清视频资料库</w:t>
            </w:r>
          </w:p>
        </w:tc>
        <w:tc>
          <w:tcPr>
            <w:tcW w:w="1800" w:type="pct"/>
            <w:tcBorders>
              <w:top w:val="single" w:color="auto" w:sz="4" w:space="0"/>
              <w:left w:val="single" w:color="auto" w:sz="4" w:space="0"/>
              <w:bottom w:val="single" w:color="auto" w:sz="4" w:space="0"/>
              <w:right w:val="single" w:color="auto" w:sz="4" w:space="0"/>
            </w:tcBorders>
            <w:vAlign w:val="center"/>
          </w:tcPr>
          <w:p w14:paraId="3898286A">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200G</w:t>
            </w:r>
          </w:p>
        </w:tc>
        <w:tc>
          <w:tcPr>
            <w:tcW w:w="670" w:type="pct"/>
            <w:tcBorders>
              <w:top w:val="single" w:color="auto" w:sz="4" w:space="0"/>
              <w:left w:val="single" w:color="auto" w:sz="4" w:space="0"/>
              <w:bottom w:val="single" w:color="auto" w:sz="4" w:space="0"/>
              <w:right w:val="single" w:color="auto" w:sz="4" w:space="0"/>
            </w:tcBorders>
            <w:vAlign w:val="center"/>
          </w:tcPr>
          <w:p w14:paraId="40534373">
            <w:pPr>
              <w:spacing w:line="400" w:lineRule="exact"/>
              <w:jc w:val="left"/>
              <w:rPr>
                <w:rFonts w:ascii="Times New Roman" w:hAnsi="Times New Roman" w:eastAsia="仿宋" w:cs="Times New Roman"/>
                <w:bCs/>
                <w:kern w:val="0"/>
                <w:sz w:val="28"/>
                <w:szCs w:val="28"/>
              </w:rPr>
            </w:pPr>
          </w:p>
        </w:tc>
      </w:tr>
      <w:tr w14:paraId="44C3E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447" w:type="pct"/>
            <w:tcBorders>
              <w:top w:val="single" w:color="auto" w:sz="4" w:space="0"/>
              <w:left w:val="single" w:color="auto" w:sz="4" w:space="0"/>
              <w:bottom w:val="single" w:color="auto" w:sz="4" w:space="0"/>
              <w:right w:val="single" w:color="auto" w:sz="4" w:space="0"/>
            </w:tcBorders>
            <w:vAlign w:val="center"/>
          </w:tcPr>
          <w:p w14:paraId="60C4F510">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7</w:t>
            </w:r>
          </w:p>
        </w:tc>
        <w:tc>
          <w:tcPr>
            <w:tcW w:w="2081" w:type="pct"/>
            <w:tcBorders>
              <w:top w:val="single" w:color="auto" w:sz="4" w:space="0"/>
              <w:left w:val="single" w:color="auto" w:sz="4" w:space="0"/>
              <w:bottom w:val="single" w:color="auto" w:sz="4" w:space="0"/>
              <w:right w:val="single" w:color="auto" w:sz="4" w:space="0"/>
            </w:tcBorders>
            <w:vAlign w:val="center"/>
          </w:tcPr>
          <w:p w14:paraId="7EFA56E7">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主题系列报道（围绕不同时期的重点工作和需要进行策划制作）</w:t>
            </w:r>
          </w:p>
        </w:tc>
        <w:tc>
          <w:tcPr>
            <w:tcW w:w="1800" w:type="pct"/>
            <w:tcBorders>
              <w:top w:val="single" w:color="auto" w:sz="4" w:space="0"/>
              <w:left w:val="single" w:color="auto" w:sz="4" w:space="0"/>
              <w:bottom w:val="single" w:color="auto" w:sz="4" w:space="0"/>
              <w:right w:val="single" w:color="auto" w:sz="4" w:space="0"/>
            </w:tcBorders>
            <w:vAlign w:val="center"/>
          </w:tcPr>
          <w:p w14:paraId="64E4D1EE">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w:t>
            </w:r>
            <w:r>
              <w:rPr>
                <w:rFonts w:hint="eastAsia" w:ascii="Times New Roman" w:hAnsi="Times New Roman" w:eastAsia="仿宋" w:cs="Times New Roman"/>
                <w:bCs/>
                <w:kern w:val="0"/>
                <w:sz w:val="28"/>
                <w:szCs w:val="28"/>
              </w:rPr>
              <w:t>个</w:t>
            </w:r>
          </w:p>
        </w:tc>
        <w:tc>
          <w:tcPr>
            <w:tcW w:w="670" w:type="pct"/>
            <w:tcBorders>
              <w:top w:val="single" w:color="auto" w:sz="4" w:space="0"/>
              <w:left w:val="single" w:color="auto" w:sz="4" w:space="0"/>
              <w:bottom w:val="single" w:color="auto" w:sz="4" w:space="0"/>
              <w:right w:val="single" w:color="auto" w:sz="4" w:space="0"/>
            </w:tcBorders>
            <w:vAlign w:val="center"/>
          </w:tcPr>
          <w:p w14:paraId="39567499">
            <w:pPr>
              <w:spacing w:line="400" w:lineRule="exact"/>
              <w:jc w:val="left"/>
              <w:rPr>
                <w:rFonts w:ascii="Times New Roman" w:hAnsi="Times New Roman" w:eastAsia="仿宋" w:cs="Times New Roman"/>
                <w:bCs/>
                <w:kern w:val="0"/>
                <w:sz w:val="28"/>
                <w:szCs w:val="28"/>
              </w:rPr>
            </w:pPr>
          </w:p>
        </w:tc>
      </w:tr>
      <w:tr w14:paraId="61E4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447" w:type="pct"/>
            <w:tcBorders>
              <w:top w:val="single" w:color="auto" w:sz="4" w:space="0"/>
              <w:left w:val="single" w:color="auto" w:sz="4" w:space="0"/>
              <w:bottom w:val="single" w:color="auto" w:sz="4" w:space="0"/>
              <w:right w:val="single" w:color="auto" w:sz="4" w:space="0"/>
            </w:tcBorders>
            <w:vAlign w:val="center"/>
          </w:tcPr>
          <w:p w14:paraId="29E68E86">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8</w:t>
            </w:r>
          </w:p>
        </w:tc>
        <w:tc>
          <w:tcPr>
            <w:tcW w:w="2081" w:type="pct"/>
            <w:tcBorders>
              <w:top w:val="single" w:color="auto" w:sz="4" w:space="0"/>
              <w:left w:val="single" w:color="auto" w:sz="4" w:space="0"/>
              <w:bottom w:val="single" w:color="auto" w:sz="4" w:space="0"/>
              <w:right w:val="single" w:color="auto" w:sz="4" w:space="0"/>
            </w:tcBorders>
            <w:vAlign w:val="center"/>
          </w:tcPr>
          <w:p w14:paraId="0CF66307">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工作信息及时发布</w:t>
            </w:r>
          </w:p>
        </w:tc>
        <w:tc>
          <w:tcPr>
            <w:tcW w:w="1800" w:type="pct"/>
            <w:tcBorders>
              <w:top w:val="single" w:color="auto" w:sz="4" w:space="0"/>
              <w:left w:val="single" w:color="auto" w:sz="4" w:space="0"/>
              <w:bottom w:val="single" w:color="auto" w:sz="4" w:space="0"/>
              <w:right w:val="single" w:color="auto" w:sz="4" w:space="0"/>
            </w:tcBorders>
            <w:vAlign w:val="center"/>
          </w:tcPr>
          <w:p w14:paraId="6341CDCC">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10</w:t>
            </w:r>
            <w:r>
              <w:rPr>
                <w:rFonts w:hint="eastAsia" w:ascii="Times New Roman" w:hAnsi="Times New Roman" w:eastAsia="仿宋" w:cs="Times New Roman"/>
                <w:bCs/>
                <w:kern w:val="0"/>
                <w:sz w:val="28"/>
                <w:szCs w:val="28"/>
              </w:rPr>
              <w:t>条</w:t>
            </w:r>
          </w:p>
        </w:tc>
        <w:tc>
          <w:tcPr>
            <w:tcW w:w="670" w:type="pct"/>
            <w:tcBorders>
              <w:top w:val="single" w:color="auto" w:sz="4" w:space="0"/>
              <w:left w:val="single" w:color="auto" w:sz="4" w:space="0"/>
              <w:bottom w:val="single" w:color="auto" w:sz="4" w:space="0"/>
              <w:right w:val="single" w:color="auto" w:sz="4" w:space="0"/>
            </w:tcBorders>
            <w:vAlign w:val="center"/>
          </w:tcPr>
          <w:p w14:paraId="6E80E52C">
            <w:pPr>
              <w:spacing w:line="400" w:lineRule="exact"/>
              <w:jc w:val="left"/>
              <w:rPr>
                <w:rFonts w:ascii="Times New Roman" w:hAnsi="Times New Roman" w:eastAsia="仿宋" w:cs="Times New Roman"/>
                <w:bCs/>
                <w:kern w:val="0"/>
                <w:sz w:val="28"/>
                <w:szCs w:val="28"/>
              </w:rPr>
            </w:pPr>
          </w:p>
        </w:tc>
      </w:tr>
    </w:tbl>
    <w:p w14:paraId="14492597">
      <w:pPr>
        <w:pStyle w:val="16"/>
        <w:rPr>
          <w:rFonts w:hint="eastAsia" w:eastAsiaTheme="minorEastAsia"/>
          <w:sz w:val="24"/>
          <w:szCs w:val="24"/>
        </w:rPr>
      </w:pPr>
    </w:p>
    <w:p w14:paraId="47A61DE3">
      <w:pPr>
        <w:pStyle w:val="9"/>
        <w:spacing w:beforeAutospacing="0" w:afterAutospacing="0" w:line="440" w:lineRule="exact"/>
        <w:ind w:firstLine="602"/>
        <w:jc w:val="both"/>
      </w:pPr>
      <w:r>
        <w:rPr>
          <w:rFonts w:hint="eastAsia" w:cs="宋体"/>
        </w:rPr>
        <w:t>采购标的对应的中小企业划分标准所属行业一览表</w:t>
      </w:r>
    </w:p>
    <w:tbl>
      <w:tblPr>
        <w:tblStyle w:val="10"/>
        <w:tblW w:w="7452" w:type="dxa"/>
        <w:jc w:val="center"/>
        <w:tblCellSpacing w:w="0" w:type="dxa"/>
        <w:tblLayout w:type="fixed"/>
        <w:tblCellMar>
          <w:top w:w="0" w:type="dxa"/>
          <w:left w:w="108" w:type="dxa"/>
          <w:bottom w:w="0" w:type="dxa"/>
          <w:right w:w="108" w:type="dxa"/>
        </w:tblCellMar>
      </w:tblPr>
      <w:tblGrid>
        <w:gridCol w:w="908"/>
        <w:gridCol w:w="3882"/>
        <w:gridCol w:w="2662"/>
      </w:tblGrid>
      <w:tr w14:paraId="260B7503">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4AD56F05">
            <w:pPr>
              <w:pStyle w:val="9"/>
              <w:spacing w:beforeAutospacing="0" w:afterAutospacing="0" w:line="0" w:lineRule="atLeast"/>
              <w:jc w:val="center"/>
            </w:pPr>
            <w:r>
              <w:rPr>
                <w:rFonts w:hint="eastAsia" w:cs="宋体"/>
              </w:rPr>
              <w:t>序号</w:t>
            </w:r>
          </w:p>
        </w:tc>
        <w:tc>
          <w:tcPr>
            <w:tcW w:w="3882" w:type="dxa"/>
            <w:tcBorders>
              <w:top w:val="single" w:color="000000" w:sz="4" w:space="0"/>
              <w:left w:val="single" w:color="000000" w:sz="4" w:space="0"/>
              <w:bottom w:val="single" w:color="000000" w:sz="4" w:space="0"/>
              <w:right w:val="single" w:color="000000" w:sz="4" w:space="0"/>
            </w:tcBorders>
            <w:vAlign w:val="center"/>
          </w:tcPr>
          <w:p w14:paraId="7910FFAF">
            <w:pPr>
              <w:pStyle w:val="9"/>
              <w:spacing w:beforeAutospacing="0" w:afterAutospacing="0" w:line="0" w:lineRule="atLeast"/>
              <w:jc w:val="center"/>
            </w:pPr>
            <w:r>
              <w:rPr>
                <w:rFonts w:hint="eastAsia" w:cs="宋体"/>
              </w:rPr>
              <w:t>采购标的</w:t>
            </w:r>
          </w:p>
        </w:tc>
        <w:tc>
          <w:tcPr>
            <w:tcW w:w="2662" w:type="dxa"/>
            <w:tcBorders>
              <w:top w:val="single" w:color="000000" w:sz="4" w:space="0"/>
              <w:left w:val="single" w:color="000000" w:sz="4" w:space="0"/>
              <w:bottom w:val="single" w:color="000000" w:sz="4" w:space="0"/>
              <w:right w:val="single" w:color="000000" w:sz="4" w:space="0"/>
            </w:tcBorders>
            <w:vAlign w:val="center"/>
          </w:tcPr>
          <w:p w14:paraId="1C2DD9DB">
            <w:pPr>
              <w:pStyle w:val="9"/>
              <w:spacing w:beforeAutospacing="0" w:afterAutospacing="0" w:line="0" w:lineRule="atLeast"/>
              <w:jc w:val="center"/>
            </w:pPr>
            <w:r>
              <w:rPr>
                <w:rFonts w:hint="eastAsia" w:cs="宋体"/>
              </w:rPr>
              <w:t>对应中小企业划分标准所属行业</w:t>
            </w:r>
          </w:p>
        </w:tc>
      </w:tr>
      <w:tr w14:paraId="30A14BE3">
        <w:tblPrEx>
          <w:tblCellMar>
            <w:top w:w="0" w:type="dxa"/>
            <w:left w:w="108" w:type="dxa"/>
            <w:bottom w:w="0" w:type="dxa"/>
            <w:right w:w="108" w:type="dxa"/>
          </w:tblCellMar>
        </w:tblPrEx>
        <w:trPr>
          <w:trHeight w:val="100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2094AE63">
            <w:pPr>
              <w:pStyle w:val="9"/>
              <w:spacing w:beforeAutospacing="0" w:afterAutospacing="0" w:line="0" w:lineRule="atLeast"/>
              <w:jc w:val="center"/>
            </w:pPr>
            <w:r>
              <w:rPr>
                <w:rFonts w:hint="eastAsia" w:cs="宋体"/>
              </w:rPr>
              <w:t>1</w:t>
            </w:r>
          </w:p>
        </w:tc>
        <w:tc>
          <w:tcPr>
            <w:tcW w:w="3882" w:type="dxa"/>
            <w:tcBorders>
              <w:top w:val="single" w:color="000000" w:sz="4" w:space="0"/>
              <w:left w:val="single" w:color="000000" w:sz="4" w:space="0"/>
              <w:bottom w:val="single" w:color="000000" w:sz="4" w:space="0"/>
              <w:right w:val="single" w:color="000000" w:sz="4" w:space="0"/>
            </w:tcBorders>
            <w:vAlign w:val="center"/>
          </w:tcPr>
          <w:p w14:paraId="02F2CB95">
            <w:pPr>
              <w:pStyle w:val="9"/>
              <w:spacing w:beforeAutospacing="0" w:afterAutospacing="0" w:line="0" w:lineRule="atLeast"/>
              <w:jc w:val="center"/>
              <w:rPr>
                <w:rFonts w:eastAsia="宋体"/>
              </w:rPr>
            </w:pPr>
            <w:r>
              <w:rPr>
                <w:rFonts w:hint="eastAsia" w:eastAsia="宋体"/>
              </w:rPr>
              <w:t>市级电视媒体形象宣传项目</w:t>
            </w:r>
          </w:p>
        </w:tc>
        <w:tc>
          <w:tcPr>
            <w:tcW w:w="2662" w:type="dxa"/>
            <w:tcBorders>
              <w:top w:val="single" w:color="000000" w:sz="4" w:space="0"/>
              <w:left w:val="single" w:color="000000" w:sz="4" w:space="0"/>
              <w:bottom w:val="single" w:color="000000" w:sz="4" w:space="0"/>
              <w:right w:val="single" w:color="000000" w:sz="4" w:space="0"/>
            </w:tcBorders>
            <w:vAlign w:val="center"/>
          </w:tcPr>
          <w:p w14:paraId="3778CEC6">
            <w:pPr>
              <w:pStyle w:val="9"/>
              <w:spacing w:beforeAutospacing="0" w:afterAutospacing="0" w:line="0" w:lineRule="atLeast"/>
              <w:jc w:val="center"/>
            </w:pPr>
            <w:r>
              <w:rPr>
                <w:rFonts w:hint="eastAsia"/>
              </w:rPr>
              <w:t>其他未列明行业</w:t>
            </w:r>
          </w:p>
        </w:tc>
      </w:tr>
    </w:tbl>
    <w:p w14:paraId="36E918A9">
      <w:pPr>
        <w:pStyle w:val="9"/>
        <w:spacing w:beforeAutospacing="0" w:afterAutospacing="0"/>
        <w:jc w:val="both"/>
      </w:pPr>
    </w:p>
    <w:p w14:paraId="2763D307">
      <w:pPr>
        <w:pStyle w:val="16"/>
      </w:pPr>
    </w:p>
    <w:p w14:paraId="3BA37FE5">
      <w:pPr>
        <w:pStyle w:val="16"/>
        <w:rPr>
          <w:rFonts w:hint="eastAsia" w:ascii="宋体" w:hAnsi="宋体" w:eastAsia="宋体" w:cs="宋体"/>
        </w:rPr>
      </w:pPr>
    </w:p>
    <w:p w14:paraId="6EF86203">
      <w:pPr>
        <w:pStyle w:val="15"/>
        <w:rPr>
          <w:rFonts w:hint="eastAsia" w:ascii="宋体" w:hAnsi="宋体" w:eastAsia="宋体" w:cs="宋体"/>
        </w:rPr>
      </w:pPr>
    </w:p>
    <w:p w14:paraId="493A021B">
      <w:pPr>
        <w:pStyle w:val="16"/>
        <w:rPr>
          <w:rFonts w:hint="eastAsia" w:ascii="宋体" w:hAnsi="宋体" w:eastAsia="宋体" w:cs="宋体"/>
        </w:rPr>
      </w:pPr>
    </w:p>
    <w:p w14:paraId="2D979070">
      <w:pPr>
        <w:pStyle w:val="15"/>
        <w:rPr>
          <w:rFonts w:hint="eastAsia" w:ascii="宋体" w:hAnsi="宋体" w:eastAsia="宋体" w:cs="宋体"/>
        </w:rPr>
      </w:pPr>
    </w:p>
    <w:p w14:paraId="29BDA7FD">
      <w:pPr>
        <w:pStyle w:val="16"/>
        <w:rPr>
          <w:rFonts w:hint="eastAsia" w:ascii="宋体" w:hAnsi="宋体" w:eastAsia="宋体" w:cs="宋体"/>
        </w:rPr>
      </w:pPr>
    </w:p>
    <w:p w14:paraId="2E694BC9">
      <w:pPr>
        <w:pStyle w:val="15"/>
        <w:rPr>
          <w:rFonts w:hint="eastAsia" w:ascii="宋体" w:hAnsi="宋体" w:eastAsia="宋体" w:cs="宋体"/>
        </w:rPr>
      </w:pPr>
    </w:p>
    <w:p w14:paraId="1EE61983">
      <w:pPr>
        <w:pStyle w:val="16"/>
        <w:rPr>
          <w:rFonts w:hint="eastAsia" w:ascii="宋体" w:hAnsi="宋体" w:eastAsia="宋体" w:cs="宋体"/>
        </w:rPr>
      </w:pPr>
    </w:p>
    <w:p w14:paraId="2014A820">
      <w:pPr>
        <w:pStyle w:val="15"/>
        <w:rPr>
          <w:rFonts w:hint="eastAsia" w:ascii="宋体" w:hAnsi="宋体" w:eastAsia="宋体" w:cs="宋体"/>
        </w:rPr>
      </w:pPr>
    </w:p>
    <w:p w14:paraId="4659A3E2">
      <w:pPr>
        <w:pStyle w:val="16"/>
        <w:rPr>
          <w:rFonts w:hint="eastAsia" w:ascii="宋体" w:hAnsi="宋体" w:eastAsia="宋体" w:cs="宋体"/>
        </w:rPr>
      </w:pPr>
    </w:p>
    <w:p w14:paraId="19FEC309">
      <w:pPr>
        <w:pStyle w:val="15"/>
        <w:rPr>
          <w:rFonts w:hint="eastAsia" w:ascii="宋体" w:hAnsi="宋体" w:eastAsia="宋体" w:cs="宋体"/>
        </w:rPr>
      </w:pPr>
    </w:p>
    <w:p w14:paraId="0675C3F7">
      <w:pPr>
        <w:pStyle w:val="16"/>
        <w:rPr>
          <w:rFonts w:hint="eastAsia" w:ascii="宋体" w:hAnsi="宋体" w:eastAsia="宋体" w:cs="宋体"/>
        </w:rPr>
      </w:pPr>
    </w:p>
    <w:p w14:paraId="6D16DE49">
      <w:pPr>
        <w:pStyle w:val="15"/>
        <w:rPr>
          <w:rFonts w:hint="eastAsia" w:ascii="宋体" w:hAnsi="宋体" w:eastAsia="宋体" w:cs="宋体"/>
        </w:rPr>
      </w:pPr>
    </w:p>
    <w:p w14:paraId="1549F472">
      <w:pPr>
        <w:pStyle w:val="16"/>
        <w:rPr>
          <w:rFonts w:hint="eastAsia" w:ascii="宋体" w:hAnsi="宋体" w:eastAsia="宋体" w:cs="宋体"/>
        </w:rPr>
      </w:pPr>
    </w:p>
    <w:p w14:paraId="6FCFF6EE">
      <w:pPr>
        <w:pStyle w:val="15"/>
        <w:rPr>
          <w:rFonts w:hint="eastAsia"/>
        </w:rPr>
      </w:pPr>
    </w:p>
    <w:p w14:paraId="0A6E518E">
      <w:pPr>
        <w:pStyle w:val="15"/>
        <w:rPr>
          <w:rFonts w:hint="eastAsia"/>
        </w:rPr>
      </w:pPr>
    </w:p>
    <w:p w14:paraId="453B7480">
      <w:pPr>
        <w:pStyle w:val="9"/>
        <w:spacing w:beforeAutospacing="0" w:afterAutospacing="0"/>
        <w:jc w:val="center"/>
        <w:rPr>
          <w:rFonts w:hint="eastAsia" w:ascii="宋体" w:hAnsi="宋体" w:eastAsia="宋体" w:cs="宋体"/>
        </w:rPr>
      </w:pPr>
      <w:bookmarkStart w:id="148" w:name="_Toc120614281"/>
      <w:r>
        <w:rPr>
          <w:rFonts w:hint="eastAsia" w:ascii="宋体" w:hAnsi="宋体" w:eastAsia="宋体" w:cs="宋体"/>
          <w:color w:val="000000"/>
          <w:sz w:val="44"/>
          <w:szCs w:val="44"/>
        </w:rPr>
        <w:t>第五章  响应文件格式</w:t>
      </w:r>
    </w:p>
    <w:p w14:paraId="14F12A05">
      <w:pPr>
        <w:pStyle w:val="9"/>
        <w:spacing w:beforeAutospacing="0" w:afterAutospacing="0"/>
        <w:jc w:val="center"/>
        <w:rPr>
          <w:rFonts w:hint="eastAsia" w:ascii="宋体" w:hAnsi="宋体" w:eastAsia="宋体" w:cs="宋体"/>
          <w:b/>
          <w:color w:val="000000"/>
          <w:sz w:val="72"/>
          <w:szCs w:val="72"/>
        </w:rPr>
      </w:pPr>
      <w:bookmarkStart w:id="149" w:name="_Toc120614282"/>
      <w:bookmarkEnd w:id="149"/>
      <w:bookmarkStart w:id="150" w:name="_Toc49090576"/>
      <w:bookmarkEnd w:id="150"/>
      <w:bookmarkStart w:id="151" w:name="_Hlt26671244"/>
      <w:bookmarkStart w:id="152" w:name="_Hlt26955039"/>
      <w:bookmarkStart w:id="153" w:name="_Toc26554094"/>
    </w:p>
    <w:p w14:paraId="02E5BB4A">
      <w:pPr>
        <w:pStyle w:val="9"/>
        <w:spacing w:beforeAutospacing="0" w:afterAutospacing="0"/>
        <w:jc w:val="center"/>
        <w:rPr>
          <w:rFonts w:hint="eastAsia" w:ascii="宋体" w:hAnsi="宋体" w:eastAsia="宋体" w:cs="宋体"/>
          <w:b/>
          <w:color w:val="000000"/>
          <w:sz w:val="72"/>
          <w:szCs w:val="72"/>
        </w:rPr>
      </w:pPr>
    </w:p>
    <w:p w14:paraId="424EC592">
      <w:pPr>
        <w:pStyle w:val="9"/>
        <w:spacing w:beforeAutospacing="0" w:afterAutospacing="0"/>
        <w:jc w:val="center"/>
        <w:rPr>
          <w:rFonts w:hint="eastAsia" w:ascii="宋体" w:hAnsi="宋体" w:eastAsia="宋体" w:cs="宋体"/>
          <w:b/>
          <w:color w:val="000000"/>
          <w:sz w:val="72"/>
          <w:szCs w:val="72"/>
        </w:rPr>
      </w:pPr>
    </w:p>
    <w:p w14:paraId="62FE5B04">
      <w:pPr>
        <w:pStyle w:val="9"/>
        <w:spacing w:beforeAutospacing="0" w:afterAutospacing="0"/>
        <w:jc w:val="center"/>
        <w:rPr>
          <w:rFonts w:hint="eastAsia" w:ascii="宋体" w:hAnsi="宋体" w:eastAsia="宋体" w:cs="宋体"/>
          <w:b/>
          <w:color w:val="000000"/>
          <w:sz w:val="72"/>
          <w:szCs w:val="72"/>
        </w:rPr>
      </w:pPr>
    </w:p>
    <w:p w14:paraId="52F6854A">
      <w:pPr>
        <w:pStyle w:val="9"/>
        <w:spacing w:beforeAutospacing="0" w:afterAutospacing="0"/>
        <w:jc w:val="center"/>
        <w:rPr>
          <w:rFonts w:hint="eastAsia" w:ascii="宋体" w:hAnsi="宋体" w:eastAsia="宋体" w:cs="宋体"/>
          <w:b/>
          <w:color w:val="000000"/>
          <w:sz w:val="72"/>
          <w:szCs w:val="72"/>
        </w:rPr>
      </w:pPr>
    </w:p>
    <w:p w14:paraId="566443BE">
      <w:pPr>
        <w:pStyle w:val="9"/>
        <w:spacing w:beforeAutospacing="0" w:afterAutospacing="0"/>
        <w:jc w:val="center"/>
        <w:rPr>
          <w:rFonts w:hint="eastAsia" w:ascii="宋体" w:hAnsi="宋体" w:eastAsia="宋体" w:cs="宋体"/>
        </w:rPr>
      </w:pPr>
      <w:r>
        <w:rPr>
          <w:rFonts w:hint="eastAsia" w:ascii="宋体" w:hAnsi="宋体" w:eastAsia="宋体" w:cs="宋体"/>
          <w:b/>
          <w:color w:val="000000"/>
          <w:sz w:val="72"/>
          <w:szCs w:val="72"/>
        </w:rPr>
        <w:t>响  应  文  件</w:t>
      </w:r>
    </w:p>
    <w:p w14:paraId="5F87C463">
      <w:pPr>
        <w:pStyle w:val="9"/>
        <w:spacing w:beforeAutospacing="0" w:afterAutospacing="0"/>
        <w:jc w:val="center"/>
        <w:rPr>
          <w:rFonts w:hint="eastAsia" w:ascii="宋体" w:hAnsi="宋体" w:eastAsia="宋体" w:cs="宋体"/>
        </w:rPr>
      </w:pPr>
      <w:r>
        <w:rPr>
          <w:rFonts w:hint="eastAsia" w:ascii="宋体" w:hAnsi="宋体" w:eastAsia="宋体" w:cs="宋体"/>
        </w:rPr>
        <w:t> </w:t>
      </w:r>
    </w:p>
    <w:p w14:paraId="7685E72C">
      <w:pPr>
        <w:pStyle w:val="9"/>
        <w:spacing w:beforeAutospacing="0" w:afterAutospacing="0"/>
        <w:jc w:val="center"/>
        <w:rPr>
          <w:rFonts w:hint="eastAsia" w:ascii="宋体" w:hAnsi="宋体" w:eastAsia="宋体" w:cs="宋体"/>
        </w:rPr>
      </w:pPr>
      <w:r>
        <w:rPr>
          <w:rFonts w:hint="eastAsia" w:ascii="宋体" w:hAnsi="宋体" w:eastAsia="宋体" w:cs="宋体"/>
        </w:rPr>
        <w:t> </w:t>
      </w:r>
    </w:p>
    <w:p w14:paraId="0A0281B1">
      <w:pPr>
        <w:pStyle w:val="9"/>
        <w:spacing w:beforeAutospacing="0" w:afterAutospacing="0"/>
        <w:jc w:val="center"/>
        <w:rPr>
          <w:rFonts w:hint="eastAsia" w:ascii="宋体" w:hAnsi="宋体" w:eastAsia="宋体" w:cs="宋体"/>
        </w:rPr>
      </w:pPr>
      <w:r>
        <w:rPr>
          <w:rFonts w:hint="eastAsia" w:ascii="宋体" w:hAnsi="宋体" w:eastAsia="宋体" w:cs="宋体"/>
        </w:rPr>
        <w:t> </w:t>
      </w:r>
    </w:p>
    <w:p w14:paraId="1D361CC6">
      <w:pPr>
        <w:pStyle w:val="9"/>
        <w:spacing w:beforeAutospacing="0" w:afterAutospacing="0"/>
        <w:jc w:val="center"/>
        <w:rPr>
          <w:rFonts w:hint="eastAsia" w:ascii="宋体" w:hAnsi="宋体" w:eastAsia="宋体" w:cs="宋体"/>
        </w:rPr>
      </w:pPr>
      <w:r>
        <w:rPr>
          <w:rFonts w:hint="eastAsia" w:ascii="宋体" w:hAnsi="宋体" w:eastAsia="宋体" w:cs="宋体"/>
        </w:rPr>
        <w:t> </w:t>
      </w:r>
    </w:p>
    <w:p w14:paraId="3FFA979E">
      <w:pPr>
        <w:pStyle w:val="9"/>
        <w:spacing w:beforeAutospacing="0" w:afterAutospacing="0"/>
        <w:jc w:val="center"/>
        <w:rPr>
          <w:rFonts w:hint="eastAsia" w:ascii="宋体" w:hAnsi="宋体" w:eastAsia="宋体" w:cs="宋体"/>
        </w:rPr>
      </w:pPr>
      <w:r>
        <w:rPr>
          <w:rFonts w:hint="eastAsia" w:ascii="宋体" w:hAnsi="宋体" w:eastAsia="宋体" w:cs="宋体"/>
        </w:rPr>
        <w:t> </w:t>
      </w:r>
    </w:p>
    <w:p w14:paraId="0B977160">
      <w:pPr>
        <w:pStyle w:val="9"/>
        <w:spacing w:beforeAutospacing="0" w:afterAutospacing="0"/>
        <w:ind w:firstLine="1084"/>
        <w:jc w:val="both"/>
        <w:rPr>
          <w:rFonts w:hint="eastAsia" w:ascii="宋体" w:hAnsi="宋体" w:eastAsia="宋体" w:cs="宋体"/>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4BE535B5">
      <w:pPr>
        <w:pStyle w:val="9"/>
        <w:spacing w:beforeAutospacing="0" w:afterAutospacing="0"/>
        <w:ind w:firstLine="1084"/>
        <w:jc w:val="both"/>
        <w:rPr>
          <w:rFonts w:hint="eastAsia" w:ascii="宋体" w:hAnsi="宋体" w:eastAsia="宋体" w:cs="宋体"/>
        </w:rPr>
      </w:pPr>
      <w:r>
        <w:rPr>
          <w:rFonts w:hint="eastAsia" w:ascii="宋体" w:hAnsi="宋体" w:eastAsia="宋体" w:cs="宋体"/>
          <w:b/>
          <w:color w:val="000000"/>
          <w:sz w:val="36"/>
          <w:szCs w:val="36"/>
        </w:rPr>
        <w:t>采 购 编 号：</w:t>
      </w:r>
      <w:r>
        <w:rPr>
          <w:rFonts w:hint="eastAsia" w:ascii="宋体" w:hAnsi="宋体" w:eastAsia="宋体" w:cs="宋体"/>
          <w:b/>
          <w:color w:val="000000"/>
          <w:sz w:val="36"/>
          <w:szCs w:val="36"/>
          <w:u w:val="single"/>
        </w:rPr>
        <w:t>            </w:t>
      </w:r>
    </w:p>
    <w:p w14:paraId="334A45AF">
      <w:pPr>
        <w:pStyle w:val="9"/>
        <w:spacing w:beforeAutospacing="0" w:afterAutospacing="0"/>
        <w:jc w:val="both"/>
        <w:rPr>
          <w:rFonts w:hint="eastAsia" w:ascii="宋体" w:hAnsi="宋体" w:eastAsia="宋体" w:cs="宋体"/>
        </w:rPr>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436017C0">
      <w:pPr>
        <w:pStyle w:val="9"/>
        <w:spacing w:beforeAutospacing="0" w:afterAutospacing="0"/>
        <w:jc w:val="both"/>
        <w:rPr>
          <w:rFonts w:hint="eastAsia"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p>
    <w:p w14:paraId="587BFE09">
      <w:pPr>
        <w:pStyle w:val="9"/>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7CD7E95">
      <w:pPr>
        <w:pStyle w:val="9"/>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117DCF68">
      <w:pPr>
        <w:pStyle w:val="9"/>
        <w:spacing w:beforeAutospacing="0" w:afterAutospacing="0" w:line="0" w:lineRule="atLeast"/>
        <w:jc w:val="center"/>
        <w:rPr>
          <w:rFonts w:hint="eastAsia" w:ascii="宋体" w:hAnsi="宋体" w:eastAsia="宋体" w:cs="宋体"/>
          <w:b/>
          <w:color w:val="000000"/>
          <w:sz w:val="36"/>
          <w:szCs w:val="36"/>
          <w:u w:val="single"/>
        </w:rPr>
      </w:pPr>
    </w:p>
    <w:p w14:paraId="228A81E1">
      <w:pPr>
        <w:pStyle w:val="9"/>
        <w:spacing w:beforeAutospacing="0" w:afterAutospacing="0" w:line="0" w:lineRule="atLeast"/>
        <w:jc w:val="center"/>
        <w:rPr>
          <w:rFonts w:hint="eastAsia" w:ascii="宋体" w:hAnsi="宋体" w:eastAsia="宋体" w:cs="宋体"/>
          <w:b/>
          <w:color w:val="000000"/>
          <w:sz w:val="36"/>
          <w:szCs w:val="36"/>
          <w:u w:val="single"/>
        </w:rPr>
      </w:pPr>
    </w:p>
    <w:p w14:paraId="36A557F3">
      <w:pPr>
        <w:pStyle w:val="9"/>
        <w:spacing w:beforeAutospacing="0" w:afterAutospacing="0" w:line="0" w:lineRule="atLeast"/>
        <w:jc w:val="both"/>
        <w:rPr>
          <w:rFonts w:hint="eastAsia" w:ascii="宋体" w:hAnsi="宋体" w:eastAsia="宋体" w:cs="宋体"/>
          <w:b/>
          <w:color w:val="000000"/>
          <w:sz w:val="36"/>
          <w:szCs w:val="36"/>
          <w:u w:val="single"/>
        </w:rPr>
      </w:pPr>
    </w:p>
    <w:p w14:paraId="002BDC80">
      <w:pPr>
        <w:pStyle w:val="9"/>
        <w:spacing w:beforeAutospacing="0" w:afterAutospacing="0" w:line="0" w:lineRule="atLeast"/>
        <w:jc w:val="center"/>
        <w:rPr>
          <w:rFonts w:hint="eastAsia" w:ascii="宋体" w:hAnsi="宋体" w:eastAsia="宋体" w:cs="宋体"/>
          <w:b/>
          <w:color w:val="000000"/>
          <w:sz w:val="36"/>
          <w:szCs w:val="36"/>
          <w:u w:val="single"/>
        </w:rPr>
      </w:pPr>
    </w:p>
    <w:p w14:paraId="2DB6B819">
      <w:pPr>
        <w:pStyle w:val="9"/>
        <w:spacing w:beforeAutospacing="0" w:afterAutospacing="0" w:line="0" w:lineRule="atLeast"/>
        <w:jc w:val="center"/>
        <w:rPr>
          <w:rFonts w:hint="eastAsia" w:ascii="宋体" w:hAnsi="宋体" w:eastAsia="宋体" w:cs="宋体"/>
          <w:b/>
          <w:color w:val="000000"/>
          <w:sz w:val="36"/>
          <w:szCs w:val="36"/>
          <w:u w:val="single"/>
        </w:rPr>
      </w:pPr>
    </w:p>
    <w:p w14:paraId="55C16741">
      <w:pPr>
        <w:pStyle w:val="9"/>
        <w:spacing w:beforeAutospacing="0" w:afterAutospacing="0" w:line="0" w:lineRule="atLeast"/>
        <w:jc w:val="center"/>
        <w:rPr>
          <w:rFonts w:hint="eastAsia" w:ascii="宋体" w:hAnsi="宋体" w:eastAsia="宋体" w:cs="宋体"/>
          <w:b/>
          <w:color w:val="000000"/>
          <w:sz w:val="36"/>
          <w:szCs w:val="36"/>
          <w:u w:val="single"/>
        </w:rPr>
      </w:pPr>
    </w:p>
    <w:p w14:paraId="77A31E79">
      <w:pPr>
        <w:pStyle w:val="9"/>
        <w:spacing w:beforeAutospacing="0" w:afterAutospacing="0" w:line="0" w:lineRule="atLeast"/>
        <w:jc w:val="center"/>
        <w:rPr>
          <w:rFonts w:hint="eastAsia" w:ascii="宋体" w:hAnsi="宋体" w:eastAsia="宋体" w:cs="宋体"/>
        </w:rPr>
      </w:pPr>
      <w:r>
        <w:rPr>
          <w:rFonts w:hint="eastAsia" w:ascii="宋体" w:hAnsi="宋体" w:eastAsia="宋体" w:cs="宋体"/>
          <w:b/>
          <w:color w:val="000000"/>
          <w:sz w:val="32"/>
          <w:szCs w:val="32"/>
        </w:rPr>
        <w:t>响应文件目录</w:t>
      </w:r>
    </w:p>
    <w:p w14:paraId="47D4FD72">
      <w:pPr>
        <w:pStyle w:val="9"/>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510BD10F">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一、法人或者其他组织的营业执照等证明文件，自然人的身份证明</w:t>
      </w:r>
    </w:p>
    <w:p w14:paraId="4D6013B3">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二、上一年度的财务状况报表（至少提供资产负债表、利润表、现金流量表，</w:t>
      </w:r>
    </w:p>
    <w:p w14:paraId="79E09F67">
      <w:pPr>
        <w:pStyle w:val="9"/>
        <w:spacing w:beforeAutospacing="0" w:afterAutospacing="0" w:line="0" w:lineRule="atLeast"/>
        <w:jc w:val="both"/>
        <w:rPr>
          <w:rFonts w:hint="eastAsia" w:ascii="宋体" w:hAnsi="宋体" w:eastAsia="宋体" w:cs="宋体"/>
          <w:iCs/>
        </w:rPr>
      </w:pPr>
      <w:r>
        <w:rPr>
          <w:rFonts w:hint="eastAsia" w:ascii="宋体" w:hAnsi="宋体" w:eastAsia="宋体" w:cs="宋体"/>
          <w:iCs/>
        </w:rPr>
        <w:t>谈判供应商成立不满一年无需提供）</w:t>
      </w:r>
    </w:p>
    <w:p w14:paraId="39502968">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三、具备履行合同所必需的设备和专业技术能力的书面声明</w:t>
      </w:r>
    </w:p>
    <w:p w14:paraId="53513F57">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四、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6EF7CE29">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五、参加政府采购活动前 3 年内在经营活动中没有重大违法记录的书面声明</w:t>
      </w:r>
    </w:p>
    <w:p w14:paraId="33ACE7C4">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六、特定资格要求的证明文件（如果本项目设置特定资格要求，则需要提供）</w:t>
      </w:r>
    </w:p>
    <w:p w14:paraId="0B442133">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七、法人授权书</w:t>
      </w:r>
    </w:p>
    <w:p w14:paraId="4FBA5095">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八、单一来源响应函</w:t>
      </w:r>
    </w:p>
    <w:p w14:paraId="0667A01D">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lang w:val="en-US" w:eastAsia="zh-CN"/>
        </w:rPr>
        <w:t>九</w:t>
      </w:r>
      <w:r>
        <w:rPr>
          <w:rFonts w:hint="eastAsia" w:ascii="宋体" w:hAnsi="宋体" w:eastAsia="宋体" w:cs="宋体"/>
          <w:iCs/>
        </w:rPr>
        <w:t>、分项报价表</w:t>
      </w:r>
    </w:p>
    <w:p w14:paraId="507630A8">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十、技术要求响应及偏离表</w:t>
      </w:r>
    </w:p>
    <w:p w14:paraId="613578BE">
      <w:pPr>
        <w:pStyle w:val="9"/>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一</w:t>
      </w:r>
      <w:r>
        <w:rPr>
          <w:rFonts w:hint="eastAsia" w:ascii="宋体" w:hAnsi="宋体" w:eastAsia="宋体" w:cs="宋体"/>
          <w:iCs/>
        </w:rPr>
        <w:t>、商务要求响应及偏离表</w:t>
      </w:r>
    </w:p>
    <w:p w14:paraId="5B65F773">
      <w:pPr>
        <w:pStyle w:val="9"/>
        <w:spacing w:beforeAutospacing="0" w:afterAutospacing="0"/>
        <w:ind w:left="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二</w:t>
      </w:r>
      <w:r>
        <w:rPr>
          <w:rFonts w:hint="eastAsia" w:ascii="宋体" w:hAnsi="宋体" w:eastAsia="宋体" w:cs="宋体"/>
          <w:iCs/>
        </w:rPr>
        <w:t>、开标一览表</w:t>
      </w:r>
    </w:p>
    <w:p w14:paraId="71D2DC3A">
      <w:pPr>
        <w:widowControl/>
        <w:spacing w:before="50" w:after="50"/>
        <w:ind w:firstLine="480" w:firstLineChars="200"/>
        <w:rPr>
          <w:rFonts w:hint="eastAsia" w:ascii="宋体" w:hAnsi="宋体" w:eastAsia="宋体" w:cs="宋体"/>
          <w:iCs/>
          <w:kern w:val="0"/>
          <w:sz w:val="24"/>
        </w:rPr>
      </w:pPr>
      <w:r>
        <w:rPr>
          <w:rFonts w:hint="eastAsia" w:ascii="宋体" w:hAnsi="宋体" w:eastAsia="宋体" w:cs="宋体"/>
          <w:iCs/>
          <w:kern w:val="0"/>
          <w:sz w:val="24"/>
        </w:rPr>
        <w:t>十</w:t>
      </w:r>
      <w:r>
        <w:rPr>
          <w:rFonts w:hint="eastAsia" w:ascii="宋体" w:hAnsi="宋体" w:eastAsia="宋体" w:cs="宋体"/>
          <w:iCs/>
          <w:kern w:val="0"/>
          <w:sz w:val="24"/>
          <w:lang w:eastAsia="zh-CN"/>
        </w:rPr>
        <w:t>三</w:t>
      </w:r>
      <w:r>
        <w:rPr>
          <w:rFonts w:hint="eastAsia" w:ascii="宋体" w:hAnsi="宋体" w:eastAsia="宋体" w:cs="宋体"/>
          <w:iCs/>
          <w:kern w:val="0"/>
          <w:sz w:val="24"/>
        </w:rPr>
        <w:t>、技术方案、服务承诺、培训承诺等</w:t>
      </w:r>
    </w:p>
    <w:p w14:paraId="41579B06">
      <w:pPr>
        <w:pStyle w:val="9"/>
        <w:spacing w:beforeAutospacing="0" w:afterAutospacing="0" w:line="360" w:lineRule="auto"/>
        <w:ind w:firstLine="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四</w:t>
      </w:r>
      <w:r>
        <w:rPr>
          <w:rFonts w:hint="eastAsia" w:ascii="宋体" w:hAnsi="宋体" w:eastAsia="宋体" w:cs="宋体"/>
          <w:iCs/>
        </w:rPr>
        <w:t>、盐城市政府采购事前信用承诺书</w:t>
      </w:r>
    </w:p>
    <w:p w14:paraId="58E31C0E">
      <w:pPr>
        <w:pStyle w:val="9"/>
        <w:spacing w:beforeAutospacing="0" w:afterAutospacing="0" w:line="0" w:lineRule="atLeast"/>
        <w:ind w:firstLine="480"/>
        <w:jc w:val="both"/>
        <w:rPr>
          <w:rFonts w:hint="eastAsia" w:ascii="宋体" w:hAnsi="宋体" w:eastAsia="宋体" w:cs="宋体"/>
        </w:rPr>
      </w:pPr>
    </w:p>
    <w:p w14:paraId="1BB82DFD">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03C901C7">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5155F1FA">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6930F6FC">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1680025B">
      <w:pPr>
        <w:pStyle w:val="9"/>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47E72A9C">
      <w:pPr>
        <w:pStyle w:val="9"/>
        <w:spacing w:beforeAutospacing="0" w:afterAutospacing="0" w:line="0" w:lineRule="atLeast"/>
        <w:ind w:firstLine="480"/>
        <w:jc w:val="both"/>
        <w:rPr>
          <w:rFonts w:hint="eastAsia" w:ascii="宋体" w:hAnsi="宋体" w:eastAsia="宋体" w:cs="宋体"/>
        </w:rPr>
      </w:pPr>
    </w:p>
    <w:p w14:paraId="0A5A7C71">
      <w:pPr>
        <w:pStyle w:val="9"/>
        <w:spacing w:beforeAutospacing="0" w:afterAutospacing="0" w:line="0" w:lineRule="atLeast"/>
        <w:ind w:firstLine="480"/>
        <w:jc w:val="both"/>
        <w:rPr>
          <w:rFonts w:hint="eastAsia" w:ascii="宋体" w:hAnsi="宋体" w:eastAsia="宋体" w:cs="宋体"/>
        </w:rPr>
      </w:pPr>
    </w:p>
    <w:p w14:paraId="4C649F64">
      <w:pPr>
        <w:pStyle w:val="9"/>
        <w:spacing w:beforeAutospacing="0" w:afterAutospacing="0" w:line="0" w:lineRule="atLeast"/>
        <w:ind w:firstLine="480"/>
        <w:jc w:val="both"/>
        <w:rPr>
          <w:rFonts w:hint="eastAsia" w:ascii="宋体" w:hAnsi="宋体" w:eastAsia="宋体" w:cs="宋体"/>
        </w:rPr>
      </w:pPr>
    </w:p>
    <w:p w14:paraId="4B439CD7">
      <w:pPr>
        <w:pStyle w:val="9"/>
        <w:spacing w:beforeAutospacing="0" w:afterAutospacing="0" w:line="0" w:lineRule="atLeast"/>
        <w:ind w:firstLine="480"/>
        <w:jc w:val="both"/>
        <w:rPr>
          <w:rFonts w:hint="eastAsia" w:ascii="宋体" w:hAnsi="宋体" w:eastAsia="宋体" w:cs="宋体"/>
        </w:rPr>
      </w:pPr>
    </w:p>
    <w:p w14:paraId="7BE4B1F4">
      <w:pPr>
        <w:pStyle w:val="9"/>
        <w:spacing w:beforeAutospacing="0" w:afterAutospacing="0" w:line="0" w:lineRule="atLeast"/>
        <w:ind w:firstLine="480"/>
        <w:jc w:val="both"/>
        <w:rPr>
          <w:rFonts w:hint="eastAsia" w:ascii="宋体" w:hAnsi="宋体" w:eastAsia="宋体" w:cs="宋体"/>
        </w:rPr>
      </w:pPr>
    </w:p>
    <w:p w14:paraId="0F8BD348">
      <w:pPr>
        <w:pStyle w:val="9"/>
        <w:spacing w:beforeAutospacing="0" w:afterAutospacing="0" w:line="0" w:lineRule="atLeast"/>
        <w:ind w:firstLine="480"/>
        <w:jc w:val="both"/>
        <w:rPr>
          <w:rFonts w:hint="eastAsia" w:ascii="宋体" w:hAnsi="宋体" w:eastAsia="宋体" w:cs="宋体"/>
        </w:rPr>
      </w:pPr>
    </w:p>
    <w:p w14:paraId="02352B88">
      <w:pPr>
        <w:pStyle w:val="9"/>
        <w:spacing w:beforeAutospacing="0" w:afterAutospacing="0" w:line="0" w:lineRule="atLeast"/>
        <w:ind w:firstLine="480"/>
        <w:jc w:val="both"/>
        <w:rPr>
          <w:rFonts w:hint="eastAsia" w:ascii="宋体" w:hAnsi="宋体" w:eastAsia="宋体" w:cs="宋体"/>
        </w:rPr>
      </w:pPr>
    </w:p>
    <w:p w14:paraId="4CD3A0A0">
      <w:pPr>
        <w:pStyle w:val="9"/>
        <w:spacing w:beforeAutospacing="0" w:afterAutospacing="0" w:line="0" w:lineRule="atLeast"/>
        <w:ind w:firstLine="480"/>
        <w:jc w:val="both"/>
        <w:rPr>
          <w:rFonts w:hint="eastAsia" w:ascii="宋体" w:hAnsi="宋体" w:eastAsia="宋体" w:cs="宋体"/>
        </w:rPr>
      </w:pPr>
    </w:p>
    <w:p w14:paraId="6DC5F803">
      <w:pPr>
        <w:pStyle w:val="9"/>
        <w:spacing w:beforeAutospacing="0" w:afterAutospacing="0" w:line="0" w:lineRule="atLeast"/>
        <w:ind w:firstLine="480"/>
        <w:jc w:val="both"/>
        <w:rPr>
          <w:rFonts w:hint="eastAsia" w:ascii="宋体" w:hAnsi="宋体" w:eastAsia="宋体" w:cs="宋体"/>
        </w:rPr>
      </w:pPr>
    </w:p>
    <w:p w14:paraId="5EC86C6C">
      <w:pPr>
        <w:pStyle w:val="9"/>
        <w:spacing w:beforeAutospacing="0" w:afterAutospacing="0" w:line="0" w:lineRule="atLeast"/>
        <w:ind w:firstLine="480"/>
        <w:jc w:val="both"/>
        <w:rPr>
          <w:rFonts w:hint="eastAsia" w:ascii="宋体" w:hAnsi="宋体" w:eastAsia="宋体" w:cs="宋体"/>
        </w:rPr>
      </w:pPr>
    </w:p>
    <w:p w14:paraId="49F44346">
      <w:pPr>
        <w:pStyle w:val="9"/>
        <w:spacing w:beforeAutospacing="0" w:afterAutospacing="0" w:line="0" w:lineRule="atLeast"/>
        <w:ind w:firstLine="480"/>
        <w:jc w:val="both"/>
        <w:rPr>
          <w:rFonts w:hint="eastAsia" w:ascii="宋体" w:hAnsi="宋体" w:eastAsia="宋体" w:cs="宋体"/>
        </w:rPr>
      </w:pPr>
    </w:p>
    <w:p w14:paraId="3AC5BEAE">
      <w:pPr>
        <w:pStyle w:val="9"/>
        <w:spacing w:beforeAutospacing="0" w:afterAutospacing="0" w:line="0" w:lineRule="atLeast"/>
        <w:ind w:firstLine="480"/>
        <w:jc w:val="both"/>
        <w:rPr>
          <w:rFonts w:hint="eastAsia" w:ascii="宋体" w:hAnsi="宋体" w:eastAsia="宋体" w:cs="宋体"/>
        </w:rPr>
      </w:pPr>
    </w:p>
    <w:p w14:paraId="4F30E26A">
      <w:pPr>
        <w:pStyle w:val="9"/>
        <w:spacing w:beforeAutospacing="0" w:afterAutospacing="0" w:line="0" w:lineRule="atLeast"/>
        <w:ind w:firstLine="480"/>
        <w:jc w:val="both"/>
        <w:rPr>
          <w:rFonts w:hint="eastAsia" w:ascii="宋体" w:hAnsi="宋体" w:eastAsia="宋体" w:cs="宋体"/>
        </w:rPr>
      </w:pPr>
    </w:p>
    <w:p w14:paraId="216AE81B">
      <w:pPr>
        <w:pStyle w:val="9"/>
        <w:spacing w:beforeAutospacing="0" w:afterAutospacing="0" w:line="0" w:lineRule="atLeast"/>
        <w:ind w:firstLine="480"/>
        <w:jc w:val="both"/>
        <w:rPr>
          <w:rFonts w:hint="eastAsia" w:ascii="宋体" w:hAnsi="宋体" w:eastAsia="宋体" w:cs="宋体"/>
        </w:rPr>
      </w:pPr>
    </w:p>
    <w:p w14:paraId="1D57275B">
      <w:pPr>
        <w:pStyle w:val="9"/>
        <w:spacing w:beforeAutospacing="0" w:afterAutospacing="0" w:line="0" w:lineRule="atLeast"/>
        <w:ind w:firstLine="480"/>
        <w:jc w:val="both"/>
        <w:rPr>
          <w:rFonts w:hint="eastAsia" w:ascii="宋体" w:hAnsi="宋体" w:eastAsia="宋体" w:cs="宋体"/>
        </w:rPr>
      </w:pPr>
    </w:p>
    <w:p w14:paraId="7402DFEE">
      <w:pPr>
        <w:pStyle w:val="9"/>
        <w:spacing w:beforeAutospacing="0" w:afterAutospacing="0" w:line="0" w:lineRule="atLeast"/>
        <w:ind w:firstLine="480"/>
        <w:jc w:val="both"/>
        <w:rPr>
          <w:rFonts w:hint="eastAsia" w:ascii="宋体" w:hAnsi="宋体" w:eastAsia="宋体" w:cs="宋体"/>
        </w:rPr>
      </w:pPr>
      <w:bookmarkStart w:id="167" w:name="_GoBack"/>
      <w:bookmarkEnd w:id="167"/>
    </w:p>
    <w:p w14:paraId="338D95D7">
      <w:pPr>
        <w:pStyle w:val="9"/>
        <w:spacing w:beforeAutospacing="0" w:afterAutospacing="0" w:line="0" w:lineRule="atLeast"/>
        <w:jc w:val="both"/>
        <w:rPr>
          <w:rFonts w:hint="eastAsia" w:ascii="宋体" w:hAnsi="宋体" w:eastAsia="宋体" w:cs="宋体"/>
        </w:rPr>
      </w:pPr>
    </w:p>
    <w:p w14:paraId="59BA3365">
      <w:pPr>
        <w:pStyle w:val="9"/>
        <w:spacing w:beforeAutospacing="0" w:afterAutospacing="0"/>
        <w:jc w:val="both"/>
      </w:pPr>
      <w:bookmarkStart w:id="154" w:name="_Toc120614284"/>
      <w:r>
        <w:rPr>
          <w:rFonts w:hint="eastAsia" w:ascii="黑体" w:hAnsi="宋体" w:eastAsia="黑体" w:cs="黑体"/>
          <w:i/>
          <w:color w:val="000000"/>
          <w:sz w:val="32"/>
          <w:szCs w:val="32"/>
          <w:u w:val="single"/>
        </w:rPr>
        <w:t>一、法人或者其他组织的营业执照等证明文件，自然人的身份证明</w:t>
      </w:r>
    </w:p>
    <w:p w14:paraId="57527ECF">
      <w:pPr>
        <w:pStyle w:val="9"/>
        <w:spacing w:beforeAutospacing="0" w:afterAutospacing="0" w:line="0" w:lineRule="atLeast"/>
        <w:ind w:firstLine="480"/>
        <w:jc w:val="both"/>
      </w:pPr>
      <w:r>
        <w:t> </w:t>
      </w:r>
    </w:p>
    <w:p w14:paraId="12D7B23B">
      <w:pPr>
        <w:pStyle w:val="9"/>
        <w:spacing w:beforeAutospacing="0" w:afterAutospacing="0"/>
        <w:jc w:val="both"/>
        <w:rPr>
          <w:rFonts w:eastAsia="黑体"/>
        </w:rPr>
      </w:pPr>
      <w:r>
        <w:rPr>
          <w:rFonts w:hint="eastAsia" w:ascii="黑体" w:hAnsi="宋体" w:eastAsia="黑体" w:cs="黑体"/>
          <w:i/>
          <w:color w:val="000000"/>
          <w:sz w:val="32"/>
          <w:szCs w:val="32"/>
          <w:u w:val="single"/>
        </w:rPr>
        <w:t>二、上一年度的财务状况报表</w:t>
      </w:r>
    </w:p>
    <w:p w14:paraId="77DD2B8A">
      <w:pPr>
        <w:pStyle w:val="9"/>
        <w:spacing w:beforeAutospacing="0" w:afterAutospacing="0" w:line="0" w:lineRule="atLeast"/>
        <w:ind w:firstLine="480"/>
        <w:jc w:val="both"/>
      </w:pPr>
      <w:r>
        <w:rPr>
          <w:rFonts w:hint="eastAsia" w:ascii="宋体" w:hAnsi="宋体" w:eastAsia="宋体" w:cs="宋体"/>
          <w:iCs/>
        </w:rPr>
        <w:t>（至少提供资产负债表、利润表、现金流量表，协商供应商成立不满一年无需提供）</w:t>
      </w:r>
    </w:p>
    <w:p w14:paraId="7ADC507B">
      <w:pPr>
        <w:pStyle w:val="9"/>
        <w:spacing w:beforeAutospacing="0" w:afterAutospacing="0"/>
        <w:jc w:val="both"/>
      </w:pPr>
      <w:r>
        <w:t> </w:t>
      </w:r>
    </w:p>
    <w:p w14:paraId="7108688E">
      <w:pPr>
        <w:pStyle w:val="9"/>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6AA002C0">
      <w:pPr>
        <w:pStyle w:val="9"/>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179660A3">
      <w:pPr>
        <w:pStyle w:val="9"/>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F05FB5E">
      <w:pPr>
        <w:pStyle w:val="9"/>
        <w:spacing w:beforeAutospacing="0" w:afterAutospacing="0" w:line="0" w:lineRule="atLeast"/>
        <w:ind w:firstLine="492"/>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23894128">
      <w:pPr>
        <w:pStyle w:val="9"/>
        <w:spacing w:beforeAutospacing="0" w:afterAutospacing="0" w:line="0" w:lineRule="atLeast"/>
        <w:jc w:val="both"/>
      </w:pPr>
      <w:r>
        <w:rPr>
          <w:rFonts w:hint="eastAsia" w:ascii="黑体" w:hAnsi="宋体" w:eastAsia="黑体" w:cs="黑体"/>
          <w:i/>
          <w:color w:val="000000"/>
          <w:sz w:val="32"/>
          <w:szCs w:val="32"/>
          <w:u w:val="single"/>
        </w:rPr>
        <w:t>四、依法缴纳税收和社会保障资金的相关材料</w:t>
      </w:r>
    </w:p>
    <w:p w14:paraId="639566AF">
      <w:pPr>
        <w:pStyle w:val="9"/>
        <w:spacing w:beforeAutospacing="0" w:afterAutospacing="0"/>
        <w:ind w:firstLine="480"/>
        <w:jc w:val="both"/>
      </w:pPr>
      <w:r>
        <w:rPr>
          <w:rFonts w:hint="eastAsia" w:ascii="宋体" w:hAnsi="宋体" w:eastAsia="宋体" w:cs="宋体"/>
          <w:color w:val="000000"/>
        </w:rPr>
        <w:t>提供提交响应文件截止时间前一年内至少一个月依法缴纳税收及缴纳社会保障资金的证明材料。供应商依法享受缓缴、免缴税收、社会保障资金的提供证明材料。</w:t>
      </w:r>
    </w:p>
    <w:p w14:paraId="75912887">
      <w:pPr>
        <w:pStyle w:val="9"/>
        <w:spacing w:beforeAutospacing="0" w:afterAutospacing="0"/>
        <w:jc w:val="both"/>
      </w:pPr>
      <w:r>
        <w:rPr>
          <w:rFonts w:hint="eastAsia" w:ascii="宋体" w:hAnsi="宋体" w:eastAsia="宋体" w:cs="宋体"/>
          <w:color w:val="000000"/>
        </w:rPr>
        <w:t> </w:t>
      </w:r>
    </w:p>
    <w:p w14:paraId="5CCCC4E4">
      <w:pPr>
        <w:pStyle w:val="9"/>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36AA56CA">
      <w:pPr>
        <w:pStyle w:val="9"/>
        <w:spacing w:beforeAutospacing="0" w:afterAutospacing="0" w:line="0" w:lineRule="atLeast"/>
        <w:jc w:val="center"/>
      </w:pPr>
      <w:r>
        <w:rPr>
          <w:rFonts w:hint="eastAsia" w:ascii="宋体" w:hAnsi="宋体" w:eastAsia="宋体" w:cs="宋体"/>
          <w:b/>
          <w:color w:val="000000"/>
          <w:sz w:val="44"/>
          <w:szCs w:val="44"/>
        </w:rPr>
        <w:t>声  明</w:t>
      </w:r>
    </w:p>
    <w:p w14:paraId="3FD055CE">
      <w:pPr>
        <w:pStyle w:val="9"/>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3678922F">
      <w:pPr>
        <w:pStyle w:val="9"/>
        <w:spacing w:beforeAutospacing="0" w:afterAutospacing="0"/>
        <w:jc w:val="both"/>
      </w:pPr>
      <w:r>
        <w:t> </w:t>
      </w:r>
    </w:p>
    <w:p w14:paraId="4A8CE074">
      <w:pPr>
        <w:pStyle w:val="9"/>
        <w:spacing w:beforeAutospacing="0" w:afterAutospacing="0"/>
        <w:jc w:val="both"/>
      </w:pPr>
      <w:r>
        <w:rPr>
          <w:rFonts w:hint="eastAsia" w:ascii="黑体" w:hAnsi="宋体" w:eastAsia="黑体" w:cs="黑体"/>
          <w:i/>
          <w:color w:val="000000"/>
          <w:sz w:val="32"/>
          <w:szCs w:val="32"/>
          <w:u w:val="single"/>
        </w:rPr>
        <w:t>六、特定资格要求的证明文件</w:t>
      </w:r>
    </w:p>
    <w:p w14:paraId="198B91A4">
      <w:pPr>
        <w:pStyle w:val="9"/>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1A5F0FB4">
      <w:pPr>
        <w:pStyle w:val="9"/>
        <w:spacing w:beforeAutospacing="0" w:afterAutospacing="0"/>
        <w:jc w:val="center"/>
        <w:rPr>
          <w:rFonts w:hint="eastAsia" w:ascii="宋体" w:hAnsi="宋体" w:eastAsia="宋体" w:cs="宋体"/>
          <w:i/>
          <w:color w:val="000000"/>
          <w:sz w:val="32"/>
          <w:szCs w:val="32"/>
          <w:u w:val="single"/>
        </w:rPr>
      </w:pPr>
    </w:p>
    <w:p w14:paraId="4BEA3F09">
      <w:pPr>
        <w:pStyle w:val="9"/>
        <w:spacing w:beforeAutospacing="0" w:afterAutospacing="0"/>
        <w:jc w:val="center"/>
        <w:rPr>
          <w:rFonts w:hint="eastAsia" w:ascii="宋体" w:hAnsi="宋体" w:eastAsia="宋体" w:cs="宋体"/>
          <w:i/>
          <w:color w:val="000000"/>
          <w:sz w:val="32"/>
          <w:szCs w:val="32"/>
          <w:u w:val="single"/>
        </w:rPr>
      </w:pPr>
    </w:p>
    <w:p w14:paraId="74812385">
      <w:pPr>
        <w:pStyle w:val="9"/>
        <w:spacing w:beforeAutospacing="0" w:afterAutospacing="0"/>
        <w:jc w:val="center"/>
        <w:rPr>
          <w:rFonts w:hint="eastAsia" w:ascii="宋体" w:hAnsi="宋体" w:eastAsia="宋体" w:cs="宋体"/>
          <w:i/>
          <w:color w:val="000000"/>
          <w:sz w:val="32"/>
          <w:szCs w:val="32"/>
          <w:u w:val="single"/>
        </w:rPr>
      </w:pPr>
    </w:p>
    <w:p w14:paraId="193C8AB2">
      <w:pPr>
        <w:pStyle w:val="9"/>
        <w:spacing w:beforeAutospacing="0" w:afterAutospacing="0"/>
        <w:jc w:val="center"/>
        <w:rPr>
          <w:rFonts w:hint="eastAsia" w:ascii="宋体" w:hAnsi="宋体" w:eastAsia="宋体" w:cs="宋体"/>
          <w:i/>
          <w:color w:val="000000"/>
          <w:sz w:val="32"/>
          <w:szCs w:val="32"/>
          <w:u w:val="single"/>
        </w:rPr>
      </w:pPr>
    </w:p>
    <w:p w14:paraId="42A19F5D">
      <w:pPr>
        <w:pStyle w:val="9"/>
        <w:spacing w:beforeAutospacing="0" w:afterAutospacing="0"/>
        <w:jc w:val="center"/>
        <w:rPr>
          <w:rFonts w:hint="eastAsia" w:ascii="宋体" w:hAnsi="宋体" w:eastAsia="宋体" w:cs="宋体"/>
          <w:i/>
          <w:color w:val="000000"/>
          <w:sz w:val="32"/>
          <w:szCs w:val="32"/>
          <w:u w:val="single"/>
        </w:rPr>
      </w:pPr>
    </w:p>
    <w:bookmarkEnd w:id="17"/>
    <w:bookmarkEnd w:id="31"/>
    <w:bookmarkEnd w:id="78"/>
    <w:bookmarkEnd w:id="79"/>
    <w:bookmarkEnd w:id="80"/>
    <w:bookmarkEnd w:id="81"/>
    <w:bookmarkEnd w:id="82"/>
    <w:bookmarkEnd w:id="83"/>
    <w:bookmarkEnd w:id="84"/>
    <w:bookmarkEnd w:id="85"/>
    <w:bookmarkEnd w:id="94"/>
    <w:bookmarkEnd w:id="95"/>
    <w:bookmarkEnd w:id="102"/>
    <w:bookmarkEnd w:id="144"/>
    <w:bookmarkEnd w:id="145"/>
    <w:bookmarkEnd w:id="148"/>
    <w:bookmarkEnd w:id="151"/>
    <w:bookmarkEnd w:id="152"/>
    <w:bookmarkEnd w:id="153"/>
    <w:bookmarkEnd w:id="154"/>
    <w:p w14:paraId="4D6B7E50">
      <w:pPr>
        <w:pStyle w:val="9"/>
        <w:spacing w:beforeAutospacing="0" w:afterAutospacing="0"/>
        <w:jc w:val="center"/>
      </w:pPr>
      <w:r>
        <w:rPr>
          <w:rFonts w:hint="eastAsia" w:ascii="黑体" w:hAnsi="宋体" w:eastAsia="黑体" w:cs="黑体"/>
          <w:i/>
          <w:color w:val="000000"/>
          <w:sz w:val="32"/>
          <w:szCs w:val="32"/>
          <w:u w:val="single"/>
        </w:rPr>
        <w:t>七、法人授权书</w:t>
      </w:r>
    </w:p>
    <w:p w14:paraId="2FD9A080">
      <w:pPr>
        <w:pStyle w:val="9"/>
        <w:tabs>
          <w:tab w:val="left" w:pos="360"/>
        </w:tabs>
        <w:spacing w:beforeAutospacing="0" w:afterAutospacing="0"/>
        <w:ind w:firstLine="480"/>
        <w:jc w:val="both"/>
      </w:pPr>
      <w:r>
        <w:rPr>
          <w:rFonts w:ascii="Times New Roman" w:hAnsi="Times New Roman"/>
          <w:color w:val="000000"/>
        </w:rPr>
        <w:t>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4AEF1562">
      <w:pPr>
        <w:pStyle w:val="9"/>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511423FF">
      <w:pPr>
        <w:pStyle w:val="9"/>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0CB5CDD9">
      <w:pPr>
        <w:pStyle w:val="9"/>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5A6BA00">
      <w:pPr>
        <w:pStyle w:val="9"/>
        <w:tabs>
          <w:tab w:val="left" w:pos="360"/>
        </w:tabs>
        <w:spacing w:beforeAutospacing="0" w:afterAutospacing="0"/>
        <w:ind w:firstLine="720" w:firstLineChars="300"/>
        <w:jc w:val="both"/>
      </w:pPr>
      <w:r>
        <w:rPr>
          <w:rFonts w:ascii="Times New Roman" w:hAnsi="Times New Roman"/>
          <w:color w:val="000000"/>
        </w:rPr>
        <w:t>授权单位名称：</w:t>
      </w:r>
      <w:r>
        <w:rPr>
          <w:rFonts w:ascii="Times New Roman" w:hAnsi="Times New Roman"/>
          <w:color w:val="000000"/>
          <w:u w:val="single"/>
        </w:rPr>
        <w:t>（加盖CA电子公章）</w:t>
      </w:r>
    </w:p>
    <w:p w14:paraId="583A665E">
      <w:pPr>
        <w:pStyle w:val="9"/>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53761238">
      <w:pPr>
        <w:pStyle w:val="9"/>
        <w:tabs>
          <w:tab w:val="left" w:pos="360"/>
        </w:tabs>
        <w:spacing w:beforeAutospacing="0" w:afterAutospacing="0"/>
        <w:ind w:firstLine="480"/>
        <w:jc w:val="both"/>
      </w:pPr>
      <w:r>
        <w:rPr>
          <w:rFonts w:ascii="Times New Roman" w:hAnsi="Times New Roman"/>
          <w:color w:val="000000"/>
        </w:rPr>
        <w:t>      日期：</w:t>
      </w:r>
      <w:bookmarkStart w:id="155" w:name="_Hlt26671380"/>
      <w:bookmarkStart w:id="156" w:name="_Hlt26955070"/>
      <w:bookmarkStart w:id="157" w:name="_格式3__银行出具的资信证明"/>
      <w:r>
        <w:rPr>
          <w:rFonts w:ascii="Times New Roman" w:hAnsi="Times New Roman"/>
          <w:color w:val="000000"/>
          <w:u w:val="single"/>
        </w:rPr>
        <w:t xml:space="preserve">                                         </w:t>
      </w:r>
    </w:p>
    <w:p w14:paraId="73A5C1A9">
      <w:pPr>
        <w:pStyle w:val="9"/>
        <w:tabs>
          <w:tab w:val="left" w:pos="360"/>
        </w:tabs>
        <w:spacing w:beforeAutospacing="0" w:afterAutospacing="0"/>
        <w:ind w:firstLine="480"/>
        <w:jc w:val="both"/>
      </w:pPr>
      <w:r>
        <w:t> </w:t>
      </w:r>
    </w:p>
    <w:p w14:paraId="39037000">
      <w:pPr>
        <w:pStyle w:val="9"/>
        <w:tabs>
          <w:tab w:val="left" w:pos="360"/>
        </w:tabs>
        <w:spacing w:beforeAutospacing="0" w:afterAutospacing="0"/>
        <w:ind w:firstLine="480"/>
        <w:jc w:val="both"/>
      </w:pPr>
      <w:r>
        <w:t> </w:t>
      </w:r>
    </w:p>
    <w:p w14:paraId="53EC705D">
      <w:pPr>
        <w:pStyle w:val="9"/>
        <w:spacing w:beforeAutospacing="0" w:afterAutospacing="0"/>
        <w:ind w:firstLine="420"/>
        <w:jc w:val="both"/>
      </w:pPr>
      <w:r>
        <w:t> </w:t>
      </w:r>
    </w:p>
    <w:p w14:paraId="309F7AC0">
      <w:pPr>
        <w:pStyle w:val="9"/>
        <w:spacing w:beforeAutospacing="0" w:afterAutospacing="0"/>
        <w:jc w:val="both"/>
      </w:pPr>
      <w:r>
        <w:t> </w:t>
      </w:r>
    </w:p>
    <w:p w14:paraId="7134DEDB">
      <w:pPr>
        <w:pStyle w:val="9"/>
        <w:keepNext/>
        <w:keepLines/>
        <w:spacing w:before="260" w:beforeAutospacing="0" w:after="260" w:afterAutospacing="0" w:line="415" w:lineRule="auto"/>
        <w:jc w:val="center"/>
      </w:pPr>
      <w:r>
        <w:rPr>
          <w:rFonts w:hint="eastAsia" w:ascii="宋体" w:hAnsi="宋体" w:eastAsia="宋体" w:cs="宋体"/>
          <w:b/>
          <w:color w:val="000000"/>
        </w:rPr>
        <w:br w:type="page"/>
      </w:r>
      <w:r>
        <w:rPr>
          <w:rFonts w:hint="eastAsia" w:ascii="黑体" w:hAnsi="宋体" w:eastAsia="黑体" w:cs="黑体"/>
          <w:b/>
          <w:i/>
          <w:color w:val="000000"/>
          <w:sz w:val="32"/>
          <w:szCs w:val="32"/>
          <w:u w:val="single"/>
        </w:rPr>
        <w:t>八、单一来源响应函</w:t>
      </w:r>
    </w:p>
    <w:p w14:paraId="14565FDD">
      <w:pPr>
        <w:pStyle w:val="9"/>
        <w:spacing w:beforeAutospacing="0" w:afterAutospacing="0" w:line="0" w:lineRule="atLeast"/>
        <w:rPr>
          <w:rFonts w:eastAsia="宋体"/>
          <w:b/>
          <w:bCs/>
        </w:rPr>
      </w:pPr>
      <w:r>
        <w:rPr>
          <w:rFonts w:hint="eastAsia" w:ascii="宋体" w:hAnsi="宋体" w:eastAsia="宋体" w:cs="宋体"/>
          <w:b/>
          <w:bCs/>
          <w:color w:val="000000"/>
        </w:rPr>
        <w:t>致：盐城市自然资源和规划局</w:t>
      </w:r>
    </w:p>
    <w:p w14:paraId="50A84EC4">
      <w:pPr>
        <w:pStyle w:val="9"/>
        <w:spacing w:beforeAutospacing="0" w:afterAutospacing="0" w:line="0" w:lineRule="atLeast"/>
        <w:ind w:firstLine="480"/>
      </w:pPr>
      <w:r>
        <w:rPr>
          <w:rFonts w:hint="eastAsia" w:ascii="宋体" w:hAnsi="宋体" w:eastAsia="宋体" w:cs="宋体"/>
          <w:color w:val="000000"/>
        </w:rPr>
        <w:t>根据贵方的</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号采购文件，正式授权下述签字人______(姓名)代表我方______________（供应商的名称），全权处理本次项目单一来源采购的有关事宜。</w:t>
      </w:r>
    </w:p>
    <w:p w14:paraId="63E298DB">
      <w:pPr>
        <w:pStyle w:val="9"/>
        <w:spacing w:beforeAutospacing="0" w:afterAutospacing="0" w:line="0" w:lineRule="atLeast"/>
        <w:ind w:firstLine="480"/>
      </w:pPr>
      <w:r>
        <w:rPr>
          <w:rFonts w:hint="eastAsia" w:ascii="宋体" w:hAnsi="宋体" w:eastAsia="宋体" w:cs="宋体"/>
          <w:color w:val="000000"/>
        </w:rPr>
        <w:t>据此函，__________签字人兹宣布同意如下：</w:t>
      </w:r>
    </w:p>
    <w:p w14:paraId="070EF9BB">
      <w:pPr>
        <w:pStyle w:val="9"/>
        <w:spacing w:beforeAutospacing="0" w:afterAutospacing="0" w:line="0" w:lineRule="atLeast"/>
        <w:ind w:firstLine="480"/>
      </w:pPr>
      <w:r>
        <w:rPr>
          <w:rFonts w:hint="eastAsia" w:ascii="宋体" w:hAnsi="宋体" w:eastAsia="宋体" w:cs="宋体"/>
          <w:color w:val="000000"/>
        </w:rPr>
        <w:t>1.按采购文件规定的各项要求，向买方提供所需货物、服务（包含与货物相关的服务及与服务相关的货物）。</w:t>
      </w:r>
    </w:p>
    <w:p w14:paraId="648F2B2F">
      <w:pPr>
        <w:pStyle w:val="9"/>
        <w:spacing w:beforeAutospacing="0" w:afterAutospacing="0" w:line="0" w:lineRule="atLeast"/>
        <w:ind w:firstLine="480"/>
      </w:pPr>
      <w:r>
        <w:rPr>
          <w:rFonts w:hint="eastAsia" w:ascii="宋体" w:hAnsi="宋体" w:eastAsia="宋体" w:cs="宋体"/>
          <w:color w:val="000000"/>
        </w:rPr>
        <w:t>2.我们已详细审核全部采购文件及其有效补充文件，我们知道必须放弃提出含糊不清或误解问题的权利。</w:t>
      </w:r>
    </w:p>
    <w:p w14:paraId="6378A960">
      <w:pPr>
        <w:pStyle w:val="9"/>
        <w:spacing w:beforeAutospacing="0" w:afterAutospacing="0" w:line="0" w:lineRule="atLeast"/>
        <w:ind w:firstLine="480"/>
      </w:pPr>
      <w:r>
        <w:rPr>
          <w:rFonts w:hint="eastAsia" w:ascii="宋体" w:hAnsi="宋体" w:eastAsia="宋体" w:cs="宋体"/>
          <w:color w:val="000000"/>
        </w:rPr>
        <w:t>3.我们同意从规定的单一来源谈判时间起遵循本响应文件，并在规定的单一来源谈判有效期期满之前均具有约束力。</w:t>
      </w:r>
    </w:p>
    <w:p w14:paraId="2706B905">
      <w:pPr>
        <w:pStyle w:val="9"/>
        <w:spacing w:beforeAutospacing="0" w:afterAutospacing="0" w:line="0" w:lineRule="atLeast"/>
        <w:ind w:firstLine="480"/>
      </w:pPr>
      <w:r>
        <w:rPr>
          <w:rFonts w:hint="eastAsia" w:ascii="宋体" w:hAnsi="宋体" w:eastAsia="宋体" w:cs="宋体"/>
          <w:color w:val="000000"/>
        </w:rPr>
        <w:t>4.同意向贵方提供贵方可能另外要求的与单一来源采购有关的任何证据或资料，并保证我方已提供和将要提供的文件是真实的、准确的。</w:t>
      </w:r>
    </w:p>
    <w:p w14:paraId="47F4B2EF">
      <w:pPr>
        <w:pStyle w:val="9"/>
        <w:spacing w:beforeAutospacing="0" w:afterAutospacing="0" w:line="0" w:lineRule="atLeast"/>
        <w:ind w:firstLine="480"/>
      </w:pPr>
      <w:r>
        <w:rPr>
          <w:rFonts w:hint="eastAsia" w:ascii="宋体" w:hAnsi="宋体" w:eastAsia="宋体" w:cs="宋体"/>
          <w:color w:val="000000"/>
        </w:rPr>
        <w:t>5.一旦我方成交,我方将根据采购文件的规定，严格履行合同的责任和义务,并保证在采购文件规定的时间完成项目，交付买方验收、使用。</w:t>
      </w:r>
    </w:p>
    <w:p w14:paraId="1181448F">
      <w:pPr>
        <w:pStyle w:val="9"/>
        <w:spacing w:beforeAutospacing="0" w:afterAutospacing="0" w:line="0" w:lineRule="atLeast"/>
        <w:ind w:left="425"/>
      </w:pPr>
      <w:r>
        <w:rPr>
          <w:rFonts w:hint="eastAsia" w:ascii="宋体" w:hAnsi="宋体" w:eastAsia="宋体" w:cs="宋体"/>
          <w:color w:val="000000"/>
        </w:rPr>
        <w:t>6.我方与本次单一来源采购有关的正式通讯地址为：</w:t>
      </w:r>
    </w:p>
    <w:p w14:paraId="272FCB3D">
      <w:pPr>
        <w:pStyle w:val="9"/>
        <w:spacing w:beforeAutospacing="0" w:afterAutospacing="0" w:line="0" w:lineRule="atLeast"/>
        <w:ind w:left="420" w:firstLine="480"/>
      </w:pPr>
      <w:r>
        <w:rPr>
          <w:rFonts w:hint="eastAsia" w:ascii="宋体" w:hAnsi="宋体" w:eastAsia="宋体" w:cs="宋体"/>
          <w:color w:val="000000"/>
        </w:rPr>
        <w:t>地          址：</w:t>
      </w:r>
    </w:p>
    <w:p w14:paraId="6F9499DB">
      <w:pPr>
        <w:pStyle w:val="9"/>
        <w:spacing w:beforeAutospacing="0" w:afterAutospacing="0" w:line="0" w:lineRule="atLeast"/>
        <w:ind w:left="420" w:firstLine="480"/>
      </w:pPr>
      <w:r>
        <w:rPr>
          <w:rFonts w:hint="eastAsia" w:ascii="宋体" w:hAnsi="宋体" w:eastAsia="宋体" w:cs="宋体"/>
          <w:color w:val="000000"/>
        </w:rPr>
        <w:t>邮          编：</w:t>
      </w:r>
    </w:p>
    <w:p w14:paraId="32DF5754">
      <w:pPr>
        <w:pStyle w:val="9"/>
        <w:spacing w:beforeAutospacing="0" w:afterAutospacing="0" w:line="0" w:lineRule="atLeast"/>
        <w:ind w:left="420" w:firstLine="480"/>
      </w:pPr>
      <w:r>
        <w:rPr>
          <w:rFonts w:hint="eastAsia" w:ascii="宋体" w:hAnsi="宋体" w:eastAsia="宋体" w:cs="宋体"/>
          <w:color w:val="000000"/>
        </w:rPr>
        <w:t>电          话：</w:t>
      </w:r>
    </w:p>
    <w:p w14:paraId="3D25F33A">
      <w:pPr>
        <w:pStyle w:val="9"/>
        <w:spacing w:beforeAutospacing="0" w:afterAutospacing="0" w:line="0" w:lineRule="atLeast"/>
        <w:ind w:left="420" w:firstLine="480"/>
      </w:pPr>
      <w:r>
        <w:rPr>
          <w:rFonts w:hint="eastAsia" w:ascii="宋体" w:hAnsi="宋体" w:eastAsia="宋体" w:cs="宋体"/>
          <w:color w:val="000000"/>
        </w:rPr>
        <w:t>传          真：</w:t>
      </w:r>
    </w:p>
    <w:p w14:paraId="73F0DD5F">
      <w:pPr>
        <w:pStyle w:val="9"/>
        <w:spacing w:beforeAutospacing="0" w:afterAutospacing="0" w:line="0" w:lineRule="atLeast"/>
        <w:ind w:left="420" w:firstLine="480"/>
      </w:pPr>
      <w:r>
        <w:rPr>
          <w:rFonts w:hint="eastAsia" w:ascii="宋体" w:hAnsi="宋体" w:eastAsia="宋体" w:cs="宋体"/>
          <w:color w:val="000000"/>
        </w:rPr>
        <w:t>供应商开户行：</w:t>
      </w:r>
    </w:p>
    <w:p w14:paraId="7A697587">
      <w:pPr>
        <w:pStyle w:val="9"/>
        <w:spacing w:beforeAutospacing="0" w:afterAutospacing="0" w:line="0" w:lineRule="atLeast"/>
        <w:ind w:left="420" w:firstLine="480"/>
      </w:pPr>
      <w:r>
        <w:rPr>
          <w:rFonts w:hint="eastAsia" w:ascii="宋体" w:hAnsi="宋体" w:eastAsia="宋体" w:cs="宋体"/>
          <w:color w:val="000000"/>
        </w:rPr>
        <w:t xml:space="preserve">账          号： </w:t>
      </w:r>
    </w:p>
    <w:p w14:paraId="3ACEAB2A">
      <w:pPr>
        <w:pStyle w:val="9"/>
        <w:spacing w:beforeAutospacing="0" w:afterAutospacing="0" w:line="0" w:lineRule="atLeast"/>
        <w:ind w:left="420" w:firstLine="480"/>
      </w:pPr>
      <w:r>
        <w:rPr>
          <w:rFonts w:hint="eastAsia" w:ascii="宋体" w:hAnsi="宋体" w:eastAsia="宋体" w:cs="宋体"/>
          <w:color w:val="000000"/>
        </w:rPr>
        <w:t>日           期：________年____月____日</w:t>
      </w:r>
    </w:p>
    <w:p w14:paraId="25892C1F">
      <w:pPr>
        <w:pStyle w:val="9"/>
        <w:spacing w:beforeAutospacing="0" w:afterAutospacing="0" w:line="0" w:lineRule="atLeast"/>
        <w:ind w:firstLine="240"/>
        <w:jc w:val="center"/>
      </w:pPr>
      <w:r>
        <w:t> </w:t>
      </w:r>
    </w:p>
    <w:p w14:paraId="1A6E6E24">
      <w:pPr>
        <w:pStyle w:val="9"/>
        <w:spacing w:beforeAutospacing="0" w:afterAutospacing="0" w:line="0" w:lineRule="atLeast"/>
        <w:ind w:firstLine="240"/>
        <w:jc w:val="center"/>
      </w:pPr>
      <w:r>
        <w:t> </w:t>
      </w:r>
    </w:p>
    <w:p w14:paraId="19841C7E">
      <w:pPr>
        <w:pStyle w:val="9"/>
        <w:spacing w:beforeAutospacing="0" w:afterAutospacing="0" w:line="0" w:lineRule="atLeast"/>
        <w:ind w:firstLine="240"/>
        <w:jc w:val="center"/>
      </w:pPr>
      <w:r>
        <w:t> </w:t>
      </w:r>
    </w:p>
    <w:p w14:paraId="7C45D733">
      <w:pPr>
        <w:pStyle w:val="9"/>
        <w:spacing w:beforeAutospacing="0" w:afterAutospacing="0" w:line="0" w:lineRule="atLeast"/>
        <w:ind w:firstLine="240"/>
        <w:jc w:val="center"/>
      </w:pPr>
      <w:r>
        <w:t> </w:t>
      </w:r>
    </w:p>
    <w:p w14:paraId="1E5DC008">
      <w:pPr>
        <w:pStyle w:val="9"/>
        <w:spacing w:beforeAutospacing="0" w:afterAutospacing="0" w:line="0" w:lineRule="atLeast"/>
        <w:ind w:firstLine="240"/>
        <w:jc w:val="center"/>
      </w:pPr>
      <w:r>
        <w:t> </w:t>
      </w:r>
    </w:p>
    <w:p w14:paraId="0D9CBA2B">
      <w:pPr>
        <w:pStyle w:val="9"/>
        <w:spacing w:beforeAutospacing="0" w:afterAutospacing="0" w:line="0" w:lineRule="atLeast"/>
        <w:ind w:firstLine="240"/>
        <w:jc w:val="center"/>
      </w:pPr>
    </w:p>
    <w:p w14:paraId="509EAD21">
      <w:pPr>
        <w:pStyle w:val="9"/>
        <w:spacing w:beforeAutospacing="0" w:afterAutospacing="0" w:line="0" w:lineRule="atLeast"/>
        <w:ind w:firstLine="240"/>
        <w:jc w:val="center"/>
      </w:pPr>
    </w:p>
    <w:p w14:paraId="7264BCF4">
      <w:pPr>
        <w:pStyle w:val="9"/>
        <w:spacing w:beforeAutospacing="0" w:afterAutospacing="0" w:line="0" w:lineRule="atLeast"/>
        <w:ind w:firstLine="240"/>
        <w:jc w:val="center"/>
      </w:pPr>
    </w:p>
    <w:p w14:paraId="1DB1C10C">
      <w:pPr>
        <w:pStyle w:val="9"/>
        <w:spacing w:beforeAutospacing="0" w:afterAutospacing="0" w:line="0" w:lineRule="atLeast"/>
        <w:ind w:firstLine="240"/>
        <w:jc w:val="center"/>
      </w:pPr>
    </w:p>
    <w:p w14:paraId="4747AC1F">
      <w:pPr>
        <w:pStyle w:val="9"/>
        <w:spacing w:beforeAutospacing="0" w:afterAutospacing="0" w:line="0" w:lineRule="atLeast"/>
        <w:ind w:firstLine="240"/>
        <w:jc w:val="center"/>
      </w:pPr>
    </w:p>
    <w:p w14:paraId="23A2F509">
      <w:pPr>
        <w:pStyle w:val="9"/>
        <w:spacing w:beforeAutospacing="0" w:afterAutospacing="0" w:line="0" w:lineRule="atLeast"/>
        <w:ind w:firstLine="240"/>
        <w:jc w:val="center"/>
      </w:pPr>
    </w:p>
    <w:p w14:paraId="3D9F1098">
      <w:pPr>
        <w:pStyle w:val="9"/>
        <w:spacing w:beforeAutospacing="0" w:afterAutospacing="0" w:line="0" w:lineRule="atLeast"/>
        <w:ind w:firstLine="240"/>
        <w:jc w:val="center"/>
      </w:pPr>
    </w:p>
    <w:p w14:paraId="1A4C6526">
      <w:pPr>
        <w:pStyle w:val="9"/>
        <w:spacing w:beforeAutospacing="0" w:afterAutospacing="0" w:line="0" w:lineRule="atLeast"/>
        <w:ind w:firstLine="240"/>
        <w:jc w:val="center"/>
      </w:pPr>
    </w:p>
    <w:p w14:paraId="7FD112AE">
      <w:pPr>
        <w:pStyle w:val="9"/>
        <w:spacing w:beforeAutospacing="0" w:afterAutospacing="0" w:line="0" w:lineRule="atLeast"/>
        <w:ind w:firstLine="240"/>
        <w:jc w:val="center"/>
      </w:pPr>
    </w:p>
    <w:p w14:paraId="12C6A00A">
      <w:pPr>
        <w:pStyle w:val="9"/>
        <w:spacing w:beforeAutospacing="0" w:afterAutospacing="0" w:line="0" w:lineRule="atLeast"/>
        <w:ind w:firstLine="240"/>
        <w:jc w:val="center"/>
      </w:pPr>
    </w:p>
    <w:p w14:paraId="68F658CD">
      <w:pPr>
        <w:pStyle w:val="9"/>
        <w:spacing w:beforeAutospacing="0" w:afterAutospacing="0" w:line="0" w:lineRule="atLeast"/>
        <w:ind w:firstLine="240"/>
        <w:jc w:val="center"/>
      </w:pPr>
    </w:p>
    <w:p w14:paraId="6562E98C">
      <w:pPr>
        <w:pStyle w:val="9"/>
        <w:spacing w:beforeAutospacing="0" w:afterAutospacing="0" w:line="0" w:lineRule="atLeast"/>
        <w:ind w:firstLine="0"/>
        <w:jc w:val="center"/>
      </w:pPr>
      <w:r>
        <w:rPr>
          <w:rFonts w:hint="eastAsia" w:ascii="宋体" w:hAnsi="宋体" w:eastAsia="宋体" w:cs="宋体"/>
        </w:rPr>
        <w:t xml:space="preserve">  </w:t>
      </w:r>
    </w:p>
    <w:p w14:paraId="53F62039">
      <w:pPr>
        <w:pStyle w:val="9"/>
        <w:spacing w:beforeAutospacing="0" w:afterAutospacing="0"/>
        <w:jc w:val="both"/>
      </w:pPr>
      <w:r>
        <w:rPr>
          <w:rFonts w:hint="eastAsia" w:ascii="宋体" w:hAnsi="宋体" w:eastAsia="宋体" w:cs="宋体"/>
        </w:rPr>
        <w:t>                                </w:t>
      </w:r>
      <w:r>
        <w:rPr>
          <w:rFonts w:ascii="宋体" w:cs="宋体"/>
          <w:b/>
        </w:rPr>
        <w:br w:type="page" w:clear="all"/>
      </w:r>
    </w:p>
    <w:p w14:paraId="243F1C60">
      <w:pPr>
        <w:pStyle w:val="9"/>
        <w:spacing w:beforeAutospacing="0" w:afterAutospacing="0"/>
        <w:jc w:val="center"/>
      </w:pPr>
      <w:r>
        <w:rPr>
          <w:rFonts w:hint="eastAsia" w:ascii="宋体" w:hAnsi="宋体" w:eastAsia="宋体" w:cs="宋体"/>
          <w:b/>
          <w:sz w:val="32"/>
          <w:szCs w:val="32"/>
          <w:lang w:val="en-US" w:eastAsia="zh-CN"/>
        </w:rPr>
        <w:t>九</w:t>
      </w:r>
      <w:r>
        <w:rPr>
          <w:rFonts w:hint="eastAsia" w:ascii="宋体" w:hAnsi="宋体" w:eastAsia="宋体" w:cs="宋体"/>
          <w:b/>
          <w:sz w:val="32"/>
          <w:szCs w:val="32"/>
        </w:rPr>
        <w:t>、分项报价表（服务类）</w:t>
      </w:r>
    </w:p>
    <w:tbl>
      <w:tblPr>
        <w:tblStyle w:val="10"/>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3ED5E2EB">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24305768">
            <w:pPr>
              <w:pStyle w:val="9"/>
              <w:spacing w:beforeAutospacing="0" w:afterAutospacing="0" w:line="0" w:lineRule="atLeast"/>
              <w:jc w:val="center"/>
            </w:pPr>
            <w:r>
              <w:rPr>
                <w:rFonts w:hint="eastAsia" w:ascii="宋体" w:hAnsi="宋体" w:eastAsia="宋体" w:cs="宋体"/>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6D960406">
            <w:pPr>
              <w:pStyle w:val="9"/>
              <w:spacing w:beforeAutospacing="0" w:afterAutospacing="0" w:line="0" w:lineRule="atLeast"/>
              <w:jc w:val="center"/>
            </w:pPr>
            <w:r>
              <w:rPr>
                <w:rFonts w:hint="eastAsia" w:ascii="宋体" w:hAnsi="宋体" w:eastAsia="宋体" w:cs="宋体"/>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2F2552D1">
            <w:pPr>
              <w:pStyle w:val="9"/>
              <w:spacing w:beforeAutospacing="0" w:afterAutospacing="0" w:line="0" w:lineRule="atLeast"/>
              <w:jc w:val="center"/>
            </w:pPr>
            <w:r>
              <w:rPr>
                <w:rFonts w:hint="eastAsia" w:ascii="宋体" w:hAnsi="宋体" w:eastAsia="宋体" w:cs="宋体"/>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45E6E07C">
            <w:pPr>
              <w:pStyle w:val="9"/>
              <w:spacing w:beforeAutospacing="0" w:afterAutospacing="0" w:line="0" w:lineRule="atLeast"/>
              <w:jc w:val="center"/>
            </w:pPr>
            <w:r>
              <w:rPr>
                <w:rFonts w:hint="eastAsia" w:ascii="宋体" w:hAnsi="宋体" w:eastAsia="宋体" w:cs="宋体"/>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453ED69B">
            <w:pPr>
              <w:pStyle w:val="9"/>
              <w:spacing w:beforeAutospacing="0" w:afterAutospacing="0" w:line="0" w:lineRule="atLeast"/>
              <w:jc w:val="center"/>
            </w:pPr>
            <w:r>
              <w:rPr>
                <w:rFonts w:hint="eastAsia" w:ascii="宋体" w:hAnsi="宋体" w:eastAsia="宋体" w:cs="宋体"/>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16BBBED2">
            <w:pPr>
              <w:pStyle w:val="9"/>
              <w:spacing w:beforeAutospacing="0" w:afterAutospacing="0" w:line="0" w:lineRule="atLeast"/>
              <w:jc w:val="center"/>
            </w:pPr>
            <w:r>
              <w:rPr>
                <w:rFonts w:hint="eastAsia" w:ascii="宋体" w:hAnsi="宋体" w:eastAsia="宋体" w:cs="宋体"/>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3B942ED8">
            <w:pPr>
              <w:pStyle w:val="9"/>
              <w:spacing w:beforeAutospacing="0" w:afterAutospacing="0" w:line="0" w:lineRule="atLeast"/>
              <w:jc w:val="center"/>
            </w:pPr>
            <w:r>
              <w:rPr>
                <w:rFonts w:hint="eastAsia" w:ascii="宋体" w:hAnsi="宋体" w:eastAsia="宋体" w:cs="宋体"/>
              </w:rPr>
              <w:t>6</w:t>
            </w:r>
          </w:p>
        </w:tc>
      </w:tr>
      <w:tr w14:paraId="65022D4E">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2E6F3208">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7ADF1C84">
            <w:pPr>
              <w:pStyle w:val="9"/>
              <w:spacing w:beforeAutospacing="0" w:afterAutospacing="0" w:line="0" w:lineRule="atLeast"/>
              <w:jc w:val="center"/>
            </w:pPr>
            <w:r>
              <w:rPr>
                <w:rFonts w:hint="eastAsia" w:ascii="宋体" w:hAnsi="宋体" w:eastAsia="宋体" w:cs="宋体"/>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5C55FC52">
            <w:pPr>
              <w:pStyle w:val="9"/>
              <w:spacing w:beforeAutospacing="0" w:afterAutospacing="0" w:line="0" w:lineRule="atLeast"/>
              <w:jc w:val="center"/>
            </w:pPr>
            <w:r>
              <w:rPr>
                <w:rFonts w:hint="eastAsia" w:ascii="宋体" w:hAnsi="宋体" w:eastAsia="宋体" w:cs="宋体"/>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69BDC61B">
            <w:pPr>
              <w:pStyle w:val="9"/>
              <w:spacing w:beforeAutospacing="0" w:afterAutospacing="0" w:line="0" w:lineRule="atLeast"/>
              <w:jc w:val="center"/>
            </w:pPr>
            <w:r>
              <w:rPr>
                <w:rFonts w:hint="eastAsia" w:ascii="宋体" w:hAnsi="宋体" w:eastAsia="宋体" w:cs="宋体"/>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3065DE5D">
            <w:pPr>
              <w:pStyle w:val="9"/>
              <w:spacing w:beforeAutospacing="0" w:afterAutospacing="0" w:line="0" w:lineRule="atLeast"/>
              <w:jc w:val="center"/>
            </w:pPr>
            <w:r>
              <w:rPr>
                <w:rFonts w:hint="eastAsia" w:ascii="宋体" w:hAnsi="宋体" w:eastAsia="宋体" w:cs="宋体"/>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4F10667B">
            <w:pPr>
              <w:pStyle w:val="9"/>
              <w:spacing w:beforeAutospacing="0" w:afterAutospacing="0" w:line="0" w:lineRule="atLeast"/>
              <w:jc w:val="center"/>
            </w:pPr>
            <w:r>
              <w:rPr>
                <w:rFonts w:hint="eastAsia" w:ascii="宋体" w:hAnsi="宋体" w:eastAsia="宋体" w:cs="宋体"/>
              </w:rPr>
              <w:t>分项</w:t>
            </w:r>
          </w:p>
          <w:p w14:paraId="43386E93">
            <w:pPr>
              <w:pStyle w:val="9"/>
              <w:spacing w:beforeAutospacing="0" w:afterAutospacing="0" w:line="0" w:lineRule="atLeast"/>
              <w:jc w:val="center"/>
            </w:pPr>
            <w:r>
              <w:rPr>
                <w:rFonts w:hint="eastAsia" w:ascii="宋体" w:hAnsi="宋体" w:eastAsia="宋体" w:cs="宋体"/>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66F6DAD6">
            <w:pPr>
              <w:pStyle w:val="9"/>
              <w:spacing w:beforeAutospacing="0" w:afterAutospacing="0" w:line="0" w:lineRule="atLeast"/>
              <w:jc w:val="center"/>
            </w:pPr>
            <w:r>
              <w:rPr>
                <w:rFonts w:hint="eastAsia" w:ascii="宋体" w:hAnsi="宋体" w:eastAsia="宋体" w:cs="宋体"/>
              </w:rPr>
              <w:t>分项</w:t>
            </w:r>
          </w:p>
          <w:p w14:paraId="273630FD">
            <w:pPr>
              <w:pStyle w:val="9"/>
              <w:spacing w:beforeAutospacing="0" w:afterAutospacing="0" w:line="0" w:lineRule="atLeast"/>
              <w:jc w:val="center"/>
            </w:pPr>
            <w:r>
              <w:rPr>
                <w:rFonts w:hint="eastAsia" w:ascii="宋体" w:hAnsi="宋体" w:eastAsia="宋体" w:cs="宋体"/>
              </w:rPr>
              <w:t>总价</w:t>
            </w:r>
          </w:p>
        </w:tc>
      </w:tr>
      <w:tr w14:paraId="5EA21D8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F90E98C">
            <w:pPr>
              <w:pStyle w:val="9"/>
              <w:spacing w:beforeAutospacing="0" w:afterAutospacing="0" w:line="0" w:lineRule="atLeast"/>
              <w:jc w:val="center"/>
            </w:pPr>
            <w:r>
              <w:rPr>
                <w:rFonts w:hint="eastAsia" w:ascii="宋体" w:hAnsi="宋体" w:eastAsia="宋体" w:cs="宋体"/>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155C5C08">
            <w:pPr>
              <w:pStyle w:val="9"/>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13434CEA">
            <w:pPr>
              <w:pStyle w:val="9"/>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17EA74B8">
            <w:pPr>
              <w:pStyle w:val="9"/>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188C63CE">
            <w:pPr>
              <w:pStyle w:val="9"/>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5CDD88B6">
            <w:pPr>
              <w:pStyle w:val="9"/>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9D294C5">
            <w:pPr>
              <w:pStyle w:val="9"/>
              <w:spacing w:beforeAutospacing="0" w:afterAutospacing="0" w:line="0" w:lineRule="atLeast"/>
              <w:jc w:val="center"/>
            </w:pPr>
            <w:r>
              <w:t> </w:t>
            </w:r>
          </w:p>
        </w:tc>
      </w:tr>
      <w:tr w14:paraId="3ABFA48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0C54E88B">
            <w:pPr>
              <w:pStyle w:val="9"/>
              <w:spacing w:beforeAutospacing="0" w:afterAutospacing="0" w:line="0" w:lineRule="atLeast"/>
              <w:jc w:val="center"/>
            </w:pPr>
            <w:r>
              <w:rPr>
                <w:rFonts w:hint="eastAsia" w:ascii="宋体" w:hAnsi="宋体" w:eastAsia="宋体" w:cs="宋体"/>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3069DE0F">
            <w:pPr>
              <w:pStyle w:val="9"/>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878BCD0">
            <w:pPr>
              <w:pStyle w:val="9"/>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7AF06FD2">
            <w:pPr>
              <w:pStyle w:val="9"/>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74FEB995">
            <w:pPr>
              <w:pStyle w:val="9"/>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6B22715A">
            <w:pPr>
              <w:pStyle w:val="9"/>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23637D03">
            <w:pPr>
              <w:pStyle w:val="9"/>
              <w:spacing w:beforeAutospacing="0" w:afterAutospacing="0" w:line="0" w:lineRule="atLeast"/>
              <w:jc w:val="center"/>
            </w:pPr>
            <w:r>
              <w:t> </w:t>
            </w:r>
          </w:p>
        </w:tc>
      </w:tr>
      <w:tr w14:paraId="1FAABE0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65185B22">
            <w:pPr>
              <w:pStyle w:val="9"/>
              <w:spacing w:beforeAutospacing="0" w:afterAutospacing="0" w:line="0" w:lineRule="atLeast"/>
              <w:jc w:val="center"/>
            </w:pPr>
            <w:r>
              <w:rPr>
                <w:rFonts w:hint="eastAsia" w:ascii="宋体" w:hAnsi="宋体" w:eastAsia="宋体" w:cs="宋体"/>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726D241B">
            <w:pPr>
              <w:pStyle w:val="9"/>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00F0A35">
            <w:pPr>
              <w:pStyle w:val="9"/>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3C076A65">
            <w:pPr>
              <w:pStyle w:val="9"/>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0389880D">
            <w:pPr>
              <w:pStyle w:val="9"/>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4E3508A7">
            <w:pPr>
              <w:pStyle w:val="9"/>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6399D5C4">
            <w:pPr>
              <w:pStyle w:val="9"/>
              <w:spacing w:beforeAutospacing="0" w:afterAutospacing="0" w:line="0" w:lineRule="atLeast"/>
              <w:jc w:val="center"/>
            </w:pPr>
            <w:r>
              <w:t> </w:t>
            </w:r>
          </w:p>
        </w:tc>
      </w:tr>
      <w:tr w14:paraId="23B70F4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74482B97">
            <w:pPr>
              <w:pStyle w:val="9"/>
              <w:spacing w:beforeAutospacing="0" w:afterAutospacing="0" w:line="0" w:lineRule="atLeast"/>
              <w:jc w:val="center"/>
            </w:pPr>
            <w:r>
              <w:rPr>
                <w:rFonts w:hint="eastAsia" w:ascii="宋体" w:hAnsi="宋体" w:eastAsia="宋体" w:cs="宋体"/>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0FBD2A08">
            <w:pPr>
              <w:pStyle w:val="9"/>
              <w:spacing w:beforeAutospacing="0" w:afterAutospacing="0" w:line="0" w:lineRule="atLeast"/>
              <w:jc w:val="center"/>
            </w:pPr>
            <w:r>
              <w:rPr>
                <w:rFonts w:hint="eastAsia" w:ascii="宋体" w:hAnsi="宋体" w:eastAsia="宋体" w:cs="宋体"/>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67023737">
            <w:pPr>
              <w:pStyle w:val="9"/>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5B0D2FAA">
            <w:pPr>
              <w:pStyle w:val="9"/>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3EA822C">
            <w:pPr>
              <w:pStyle w:val="9"/>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6909DA9">
            <w:pPr>
              <w:pStyle w:val="9"/>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24FD47C5">
            <w:pPr>
              <w:pStyle w:val="9"/>
              <w:spacing w:beforeAutospacing="0" w:afterAutospacing="0" w:line="0" w:lineRule="atLeast"/>
              <w:jc w:val="center"/>
            </w:pPr>
            <w:r>
              <w:t> </w:t>
            </w:r>
          </w:p>
        </w:tc>
      </w:tr>
      <w:tr w14:paraId="4BB0E63B">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40D21845">
            <w:pPr>
              <w:pStyle w:val="9"/>
              <w:spacing w:beforeAutospacing="0" w:afterAutospacing="0" w:line="0" w:lineRule="atLeast"/>
              <w:jc w:val="center"/>
            </w:pPr>
            <w:r>
              <w:rPr>
                <w:rFonts w:hint="eastAsia" w:ascii="宋体" w:hAnsi="宋体" w:eastAsia="宋体" w:cs="宋体"/>
              </w:rPr>
              <w:t>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56F9E41C">
            <w:pPr>
              <w:pStyle w:val="9"/>
              <w:spacing w:beforeAutospacing="0" w:afterAutospacing="0" w:line="0" w:lineRule="atLeast"/>
              <w:jc w:val="both"/>
            </w:pPr>
            <w:r>
              <w:t> </w:t>
            </w:r>
          </w:p>
        </w:tc>
      </w:tr>
    </w:tbl>
    <w:p w14:paraId="5C7D3A07">
      <w:pPr>
        <w:pStyle w:val="9"/>
        <w:spacing w:beforeAutospacing="0" w:afterAutospacing="0"/>
        <w:jc w:val="both"/>
      </w:pPr>
      <w:r>
        <w:rPr>
          <w:rFonts w:hint="eastAsia" w:ascii="宋体" w:hAnsi="宋体" w:eastAsia="宋体" w:cs="宋体"/>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他所有费用。</w:t>
      </w:r>
    </w:p>
    <w:p w14:paraId="4B27FB27">
      <w:pPr>
        <w:pStyle w:val="9"/>
        <w:spacing w:beforeAutospacing="0" w:afterAutospacing="0"/>
        <w:jc w:val="both"/>
      </w:pPr>
      <w:r>
        <w:rPr>
          <w:rFonts w:hint="eastAsia" w:ascii="宋体" w:hAnsi="宋体" w:eastAsia="宋体" w:cs="宋体"/>
        </w:rPr>
        <w:t>备注：该表仅适用于项目采用货币报价的情形。项目采用折扣率报价的，如需要填写报价明细表的，请项目经办人自行设计表格。招标文件定稿后该备注删除。</w:t>
      </w:r>
    </w:p>
    <w:p w14:paraId="57DAF47D">
      <w:pPr>
        <w:pStyle w:val="9"/>
        <w:spacing w:beforeAutospacing="0" w:afterAutospacing="0"/>
        <w:jc w:val="both"/>
      </w:pPr>
      <w:r>
        <w:t> </w:t>
      </w:r>
    </w:p>
    <w:p w14:paraId="05E239C7">
      <w:pPr>
        <w:pStyle w:val="9"/>
        <w:spacing w:beforeAutospacing="0" w:afterAutospacing="0"/>
        <w:jc w:val="center"/>
      </w:pPr>
      <w:r>
        <w:t> </w:t>
      </w:r>
    </w:p>
    <w:p w14:paraId="52CF3D04">
      <w:pPr>
        <w:pStyle w:val="9"/>
        <w:spacing w:beforeAutospacing="0" w:afterAutospacing="0"/>
        <w:jc w:val="center"/>
      </w:pPr>
      <w:r>
        <w:t> </w:t>
      </w:r>
    </w:p>
    <w:p w14:paraId="7364A55B">
      <w:pPr>
        <w:pStyle w:val="9"/>
        <w:spacing w:beforeAutospacing="0" w:afterAutospacing="0"/>
        <w:jc w:val="center"/>
      </w:pPr>
      <w:r>
        <w:t> </w:t>
      </w:r>
    </w:p>
    <w:p w14:paraId="77288B44">
      <w:pPr>
        <w:pStyle w:val="9"/>
        <w:spacing w:beforeAutospacing="0" w:afterAutospacing="0"/>
        <w:jc w:val="center"/>
      </w:pPr>
      <w:r>
        <w:t> </w:t>
      </w:r>
    </w:p>
    <w:p w14:paraId="6973AF9B">
      <w:pPr>
        <w:pStyle w:val="9"/>
        <w:spacing w:beforeAutospacing="0" w:afterAutospacing="0"/>
        <w:jc w:val="both"/>
      </w:pPr>
      <w:r>
        <w:t> </w:t>
      </w:r>
    </w:p>
    <w:p w14:paraId="1624A98C">
      <w:pPr>
        <w:pStyle w:val="9"/>
        <w:spacing w:beforeAutospacing="0" w:afterAutospacing="0"/>
        <w:jc w:val="both"/>
      </w:pPr>
      <w:r>
        <w:t> </w:t>
      </w:r>
    </w:p>
    <w:p w14:paraId="17892A57">
      <w:pPr>
        <w:pStyle w:val="9"/>
        <w:spacing w:beforeAutospacing="0" w:afterAutospacing="0"/>
        <w:jc w:val="both"/>
      </w:pPr>
      <w:r>
        <w:t> </w:t>
      </w:r>
    </w:p>
    <w:p w14:paraId="042A1437">
      <w:pPr>
        <w:pStyle w:val="9"/>
        <w:spacing w:beforeAutospacing="0" w:afterAutospacing="0"/>
        <w:jc w:val="both"/>
      </w:pPr>
      <w:r>
        <w:t> </w:t>
      </w:r>
    </w:p>
    <w:p w14:paraId="5D5635D4">
      <w:pPr>
        <w:pStyle w:val="9"/>
        <w:spacing w:beforeAutospacing="0" w:afterAutospacing="0"/>
        <w:jc w:val="both"/>
      </w:pPr>
      <w:r>
        <w:t> </w:t>
      </w:r>
    </w:p>
    <w:p w14:paraId="4F5BFA87">
      <w:pPr>
        <w:pStyle w:val="9"/>
        <w:spacing w:beforeAutospacing="0" w:afterAutospacing="0"/>
        <w:jc w:val="both"/>
      </w:pPr>
    </w:p>
    <w:p w14:paraId="16A6F831">
      <w:pPr>
        <w:pStyle w:val="9"/>
        <w:spacing w:beforeAutospacing="0" w:afterAutospacing="0"/>
        <w:jc w:val="both"/>
      </w:pPr>
    </w:p>
    <w:p w14:paraId="1E8C3FE7">
      <w:pPr>
        <w:pStyle w:val="9"/>
        <w:spacing w:beforeAutospacing="0" w:afterAutospacing="0"/>
        <w:jc w:val="both"/>
      </w:pPr>
    </w:p>
    <w:p w14:paraId="057C3B11">
      <w:pPr>
        <w:pStyle w:val="9"/>
        <w:spacing w:beforeAutospacing="0" w:afterAutospacing="0"/>
        <w:jc w:val="both"/>
      </w:pPr>
    </w:p>
    <w:p w14:paraId="09F2ACDB">
      <w:pPr>
        <w:pStyle w:val="9"/>
        <w:spacing w:beforeAutospacing="0" w:afterAutospacing="0"/>
        <w:jc w:val="both"/>
      </w:pPr>
    </w:p>
    <w:p w14:paraId="3DDE1172">
      <w:pPr>
        <w:pStyle w:val="9"/>
        <w:spacing w:beforeAutospacing="0" w:afterAutospacing="0"/>
        <w:jc w:val="both"/>
      </w:pPr>
    </w:p>
    <w:p w14:paraId="0B500B9F">
      <w:pPr>
        <w:pStyle w:val="9"/>
        <w:spacing w:beforeAutospacing="0" w:afterAutospacing="0"/>
        <w:jc w:val="both"/>
      </w:pPr>
    </w:p>
    <w:p w14:paraId="18DA9800">
      <w:pPr>
        <w:pStyle w:val="9"/>
        <w:spacing w:beforeAutospacing="0" w:afterAutospacing="0"/>
        <w:jc w:val="both"/>
      </w:pPr>
    </w:p>
    <w:p w14:paraId="1505E52F">
      <w:pPr>
        <w:pStyle w:val="9"/>
        <w:spacing w:beforeAutospacing="0" w:afterAutospacing="0"/>
        <w:jc w:val="both"/>
      </w:pPr>
    </w:p>
    <w:p w14:paraId="1E3603DC">
      <w:pPr>
        <w:pStyle w:val="9"/>
        <w:spacing w:beforeAutospacing="0" w:afterAutospacing="0"/>
        <w:jc w:val="both"/>
      </w:pPr>
    </w:p>
    <w:p w14:paraId="193EC2DA">
      <w:pPr>
        <w:pStyle w:val="9"/>
        <w:spacing w:beforeAutospacing="0" w:afterAutospacing="0"/>
        <w:jc w:val="both"/>
      </w:pPr>
      <w:r>
        <w:t> </w:t>
      </w:r>
    </w:p>
    <w:p w14:paraId="17C5D3F4">
      <w:pPr>
        <w:pStyle w:val="9"/>
        <w:spacing w:beforeAutospacing="0" w:afterAutospacing="0"/>
        <w:jc w:val="both"/>
      </w:pPr>
      <w:r>
        <w:t> </w:t>
      </w:r>
    </w:p>
    <w:bookmarkEnd w:id="155"/>
    <w:bookmarkEnd w:id="156"/>
    <w:bookmarkEnd w:id="157"/>
    <w:p w14:paraId="1B60F84E">
      <w:pPr>
        <w:pStyle w:val="9"/>
        <w:spacing w:beforeAutospacing="0" w:afterAutospacing="0"/>
        <w:jc w:val="center"/>
      </w:pPr>
      <w:r>
        <w:rPr>
          <w:rFonts w:hint="eastAsia" w:ascii="黑体" w:hAnsi="宋体" w:eastAsia="黑体" w:cs="黑体"/>
          <w:b/>
          <w:sz w:val="32"/>
          <w:szCs w:val="32"/>
        </w:rPr>
        <w:t>十、技术要求响应及偏离表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7FD972B3">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722298CE">
            <w:pPr>
              <w:pStyle w:val="9"/>
              <w:spacing w:beforeAutospacing="0" w:afterAutospacing="0"/>
              <w:jc w:val="center"/>
            </w:pPr>
            <w:r>
              <w:rPr>
                <w:rFonts w:hint="eastAsia" w:ascii="宋体" w:hAnsi="宋体" w:eastAsia="宋体" w:cs="宋体"/>
              </w:rPr>
              <w:t>序号</w:t>
            </w:r>
          </w:p>
        </w:tc>
        <w:tc>
          <w:tcPr>
            <w:tcW w:w="2769" w:type="dxa"/>
            <w:tcBorders>
              <w:top w:val="single" w:color="000000" w:sz="4" w:space="0"/>
              <w:left w:val="single" w:color="000000" w:sz="4" w:space="0"/>
              <w:bottom w:val="single" w:color="000000" w:sz="4" w:space="0"/>
              <w:right w:val="single" w:color="000000" w:sz="4" w:space="0"/>
            </w:tcBorders>
            <w:vAlign w:val="center"/>
          </w:tcPr>
          <w:p w14:paraId="344D1A30">
            <w:pPr>
              <w:pStyle w:val="9"/>
              <w:spacing w:beforeAutospacing="0" w:afterAutospacing="0"/>
              <w:jc w:val="center"/>
            </w:pPr>
            <w:r>
              <w:rPr>
                <w:rFonts w:hint="eastAsia" w:ascii="宋体" w:hAnsi="宋体" w:eastAsia="宋体" w:cs="宋体"/>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0CF266F4">
            <w:pPr>
              <w:pStyle w:val="9"/>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4A644501">
            <w:pPr>
              <w:pStyle w:val="9"/>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3B81135">
            <w:pPr>
              <w:pStyle w:val="9"/>
              <w:spacing w:beforeAutospacing="0" w:afterAutospacing="0"/>
              <w:jc w:val="center"/>
            </w:pPr>
            <w:r>
              <w:rPr>
                <w:rFonts w:hint="eastAsia" w:ascii="宋体" w:hAnsi="宋体" w:eastAsia="宋体" w:cs="宋体"/>
              </w:rPr>
              <w:t>证明</w:t>
            </w:r>
          </w:p>
          <w:p w14:paraId="4778C990">
            <w:pPr>
              <w:pStyle w:val="9"/>
              <w:spacing w:beforeAutospacing="0" w:afterAutospacing="0"/>
              <w:jc w:val="center"/>
            </w:pPr>
            <w:r>
              <w:rPr>
                <w:rFonts w:hint="eastAsia" w:ascii="宋体" w:hAnsi="宋体" w:eastAsia="宋体" w:cs="宋体"/>
              </w:rPr>
              <w:t>材料</w:t>
            </w:r>
          </w:p>
        </w:tc>
      </w:tr>
      <w:tr w14:paraId="5A657620">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412319D">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59064626">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0BE1225">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6CAF652">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358A2AB">
            <w:pPr>
              <w:pStyle w:val="9"/>
              <w:spacing w:beforeAutospacing="0" w:afterAutospacing="0"/>
              <w:jc w:val="center"/>
            </w:pPr>
            <w:r>
              <w:t> </w:t>
            </w:r>
          </w:p>
        </w:tc>
      </w:tr>
      <w:tr w14:paraId="0E1014D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1719B12">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7E56B529">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F70EBDE">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158057">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5E9312A">
            <w:pPr>
              <w:pStyle w:val="9"/>
              <w:spacing w:beforeAutospacing="0" w:afterAutospacing="0"/>
              <w:jc w:val="center"/>
            </w:pPr>
            <w:r>
              <w:t> </w:t>
            </w:r>
          </w:p>
        </w:tc>
      </w:tr>
      <w:tr w14:paraId="11158744">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19FD3ED3">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235FE4A5">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0D34610">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33AF87">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DE18E1B">
            <w:pPr>
              <w:pStyle w:val="9"/>
              <w:spacing w:beforeAutospacing="0" w:afterAutospacing="0"/>
              <w:jc w:val="center"/>
            </w:pPr>
            <w:r>
              <w:t> </w:t>
            </w:r>
          </w:p>
        </w:tc>
      </w:tr>
      <w:tr w14:paraId="14A24FD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1F2ECEF">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5F784D43">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38E547">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C0886C">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F3E507A">
            <w:pPr>
              <w:pStyle w:val="9"/>
              <w:spacing w:beforeAutospacing="0" w:afterAutospacing="0"/>
              <w:jc w:val="center"/>
            </w:pPr>
            <w:r>
              <w:t> </w:t>
            </w:r>
          </w:p>
        </w:tc>
      </w:tr>
      <w:tr w14:paraId="6037BE52">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31DD6D6E">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16BBE0A4">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0A5B896">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0A7377F">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A08D749">
            <w:pPr>
              <w:pStyle w:val="9"/>
              <w:spacing w:beforeAutospacing="0" w:afterAutospacing="0"/>
              <w:jc w:val="center"/>
            </w:pPr>
            <w:r>
              <w:t> </w:t>
            </w:r>
          </w:p>
        </w:tc>
      </w:tr>
      <w:tr w14:paraId="77341DC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58D2F79">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24630D13">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6F95CC2">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7684390">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5F4B0EB">
            <w:pPr>
              <w:pStyle w:val="9"/>
              <w:spacing w:beforeAutospacing="0" w:afterAutospacing="0"/>
              <w:jc w:val="center"/>
            </w:pPr>
            <w:r>
              <w:t> </w:t>
            </w:r>
          </w:p>
        </w:tc>
      </w:tr>
      <w:tr w14:paraId="6E73D8BC">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25667505">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66A3F6B0">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B3BAEC8">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BACF742">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5969F8E">
            <w:pPr>
              <w:pStyle w:val="9"/>
              <w:spacing w:beforeAutospacing="0" w:afterAutospacing="0"/>
              <w:jc w:val="center"/>
            </w:pPr>
            <w:r>
              <w:t> </w:t>
            </w:r>
          </w:p>
        </w:tc>
      </w:tr>
      <w:tr w14:paraId="258D37A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6D4E8F71">
            <w:pPr>
              <w:pStyle w:val="9"/>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79E1D8A9">
            <w:pPr>
              <w:pStyle w:val="9"/>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6841B9E9">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C861CDA">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00D9EAE">
            <w:pPr>
              <w:pStyle w:val="9"/>
              <w:spacing w:beforeAutospacing="0" w:afterAutospacing="0"/>
              <w:jc w:val="center"/>
            </w:pPr>
            <w:r>
              <w:t> </w:t>
            </w:r>
          </w:p>
        </w:tc>
      </w:tr>
    </w:tbl>
    <w:p w14:paraId="359BDABB">
      <w:pPr>
        <w:pStyle w:val="9"/>
        <w:spacing w:beforeAutospacing="0" w:afterAutospacing="0"/>
        <w:jc w:val="both"/>
      </w:pPr>
      <w:r>
        <w:rPr>
          <w:rFonts w:hint="eastAsia" w:ascii="宋体" w:hAnsi="宋体" w:eastAsia="宋体" w:cs="宋体"/>
        </w:rPr>
        <w:t>注： 行数不够，可自行添加。</w:t>
      </w:r>
    </w:p>
    <w:p w14:paraId="372304BC">
      <w:pPr>
        <w:pStyle w:val="9"/>
        <w:spacing w:beforeAutospacing="0" w:afterAutospacing="0"/>
        <w:jc w:val="center"/>
      </w:pPr>
      <w:r>
        <w:t> </w:t>
      </w:r>
    </w:p>
    <w:p w14:paraId="5579811A">
      <w:pPr>
        <w:pStyle w:val="9"/>
        <w:spacing w:beforeAutospacing="0" w:afterAutospacing="0"/>
        <w:jc w:val="center"/>
      </w:pPr>
      <w:r>
        <w:t> </w:t>
      </w:r>
    </w:p>
    <w:p w14:paraId="315AB65C">
      <w:pPr>
        <w:pStyle w:val="9"/>
        <w:spacing w:beforeAutospacing="0" w:afterAutospacing="0"/>
        <w:jc w:val="center"/>
      </w:pPr>
      <w:r>
        <w:t> </w:t>
      </w:r>
    </w:p>
    <w:p w14:paraId="0012C131">
      <w:pPr>
        <w:pStyle w:val="9"/>
        <w:spacing w:beforeAutospacing="0" w:afterAutospacing="0"/>
        <w:jc w:val="center"/>
      </w:pPr>
      <w:r>
        <w:t> </w:t>
      </w:r>
    </w:p>
    <w:p w14:paraId="6A8A1924">
      <w:pPr>
        <w:pStyle w:val="9"/>
        <w:spacing w:beforeAutospacing="0" w:afterAutospacing="0"/>
        <w:jc w:val="both"/>
      </w:pPr>
      <w:r>
        <w:t> </w:t>
      </w:r>
    </w:p>
    <w:p w14:paraId="4EF35797">
      <w:pPr>
        <w:pStyle w:val="9"/>
        <w:spacing w:beforeAutospacing="0" w:afterAutospacing="0"/>
        <w:jc w:val="both"/>
      </w:pPr>
      <w:r>
        <w:t> </w:t>
      </w:r>
    </w:p>
    <w:p w14:paraId="68741757">
      <w:pPr>
        <w:pStyle w:val="9"/>
        <w:spacing w:beforeAutospacing="0" w:afterAutospacing="0"/>
        <w:jc w:val="both"/>
      </w:pPr>
      <w:r>
        <w:t> </w:t>
      </w:r>
    </w:p>
    <w:p w14:paraId="48B05C7E">
      <w:pPr>
        <w:pStyle w:val="9"/>
        <w:spacing w:beforeAutospacing="0" w:afterAutospacing="0"/>
        <w:jc w:val="both"/>
      </w:pPr>
      <w:r>
        <w:t> </w:t>
      </w:r>
    </w:p>
    <w:p w14:paraId="30D9193A">
      <w:pPr>
        <w:pStyle w:val="9"/>
        <w:spacing w:beforeAutospacing="0" w:afterAutospacing="0"/>
        <w:jc w:val="both"/>
      </w:pPr>
      <w:r>
        <w:t> </w:t>
      </w:r>
    </w:p>
    <w:p w14:paraId="13A99C8A">
      <w:pPr>
        <w:pStyle w:val="9"/>
        <w:spacing w:beforeAutospacing="0" w:afterAutospacing="0"/>
        <w:jc w:val="both"/>
      </w:pPr>
    </w:p>
    <w:p w14:paraId="6CE72522">
      <w:pPr>
        <w:pStyle w:val="9"/>
        <w:spacing w:beforeAutospacing="0" w:afterAutospacing="0"/>
        <w:jc w:val="both"/>
      </w:pPr>
    </w:p>
    <w:p w14:paraId="7A8882BB">
      <w:pPr>
        <w:pStyle w:val="9"/>
        <w:spacing w:beforeAutospacing="0" w:afterAutospacing="0"/>
        <w:jc w:val="both"/>
      </w:pPr>
    </w:p>
    <w:p w14:paraId="620C4A06">
      <w:pPr>
        <w:pStyle w:val="9"/>
        <w:spacing w:beforeAutospacing="0" w:afterAutospacing="0"/>
        <w:jc w:val="both"/>
      </w:pPr>
    </w:p>
    <w:p w14:paraId="0C80BF65">
      <w:pPr>
        <w:pStyle w:val="9"/>
        <w:spacing w:beforeAutospacing="0" w:afterAutospacing="0"/>
        <w:jc w:val="both"/>
      </w:pPr>
    </w:p>
    <w:p w14:paraId="423B38CB">
      <w:pPr>
        <w:pStyle w:val="9"/>
        <w:spacing w:beforeAutospacing="0" w:afterAutospacing="0"/>
        <w:jc w:val="both"/>
      </w:pPr>
    </w:p>
    <w:p w14:paraId="74FE98F0">
      <w:pPr>
        <w:pStyle w:val="9"/>
        <w:spacing w:beforeAutospacing="0" w:afterAutospacing="0"/>
        <w:jc w:val="both"/>
      </w:pPr>
    </w:p>
    <w:p w14:paraId="663E1D2E">
      <w:pPr>
        <w:pStyle w:val="9"/>
        <w:spacing w:beforeAutospacing="0" w:afterAutospacing="0"/>
        <w:jc w:val="both"/>
      </w:pPr>
    </w:p>
    <w:p w14:paraId="77F2606C">
      <w:pPr>
        <w:pStyle w:val="9"/>
        <w:spacing w:beforeAutospacing="0" w:afterAutospacing="0"/>
        <w:jc w:val="both"/>
      </w:pPr>
    </w:p>
    <w:p w14:paraId="286A12F6">
      <w:pPr>
        <w:pStyle w:val="9"/>
        <w:spacing w:beforeAutospacing="0" w:afterAutospacing="0"/>
        <w:jc w:val="both"/>
      </w:pPr>
    </w:p>
    <w:p w14:paraId="0866276F">
      <w:pPr>
        <w:pStyle w:val="9"/>
        <w:spacing w:beforeAutospacing="0" w:afterAutospacing="0"/>
        <w:jc w:val="both"/>
      </w:pPr>
      <w:r>
        <w:t> </w:t>
      </w:r>
    </w:p>
    <w:p w14:paraId="52038C6A">
      <w:pPr>
        <w:pStyle w:val="9"/>
        <w:spacing w:beforeAutospacing="0" w:afterAutospacing="0"/>
        <w:jc w:val="both"/>
      </w:pPr>
      <w:r>
        <w:t> </w:t>
      </w:r>
    </w:p>
    <w:p w14:paraId="6D2E9619">
      <w:pPr>
        <w:pStyle w:val="9"/>
        <w:spacing w:beforeAutospacing="0" w:afterAutospacing="0"/>
        <w:jc w:val="both"/>
      </w:pPr>
      <w:r>
        <w:t> </w:t>
      </w:r>
    </w:p>
    <w:p w14:paraId="2F4123E3">
      <w:pPr>
        <w:pStyle w:val="9"/>
        <w:spacing w:beforeAutospacing="0" w:afterAutospacing="0"/>
        <w:jc w:val="center"/>
      </w:pPr>
      <w:bookmarkStart w:id="158" w:name="_Hlt26955054"/>
      <w:r>
        <w:rPr>
          <w:rFonts w:hint="eastAsia" w:ascii="黑体" w:hAnsi="宋体" w:eastAsia="黑体" w:cs="黑体"/>
          <w:b/>
          <w:sz w:val="32"/>
          <w:szCs w:val="32"/>
        </w:rPr>
        <w:t>十</w:t>
      </w:r>
      <w:r>
        <w:rPr>
          <w:rFonts w:hint="eastAsia" w:ascii="黑体" w:hAnsi="宋体" w:eastAsia="黑体" w:cs="黑体"/>
          <w:b/>
          <w:sz w:val="32"/>
          <w:szCs w:val="32"/>
          <w:lang w:val="en-US" w:eastAsia="zh-CN"/>
        </w:rPr>
        <w:t>一</w:t>
      </w:r>
      <w:r>
        <w:rPr>
          <w:rFonts w:hint="eastAsia" w:ascii="黑体" w:hAnsi="宋体" w:eastAsia="黑体" w:cs="黑体"/>
          <w:b/>
          <w:sz w:val="32"/>
          <w:szCs w:val="32"/>
        </w:rPr>
        <w:t>、商务要求响应及偏离表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59336D33">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710A7708">
            <w:pPr>
              <w:pStyle w:val="9"/>
              <w:spacing w:beforeAutospacing="0" w:afterAutospacing="0"/>
              <w:jc w:val="center"/>
            </w:pPr>
            <w:bookmarkStart w:id="159" w:name="_Hlt26955064"/>
            <w:bookmarkStart w:id="160" w:name="_Hlt26955056"/>
            <w:bookmarkStart w:id="161" w:name="_Hlt26580838"/>
            <w:bookmarkStart w:id="162" w:name="_Hlt26782999"/>
            <w:bookmarkStart w:id="163" w:name="_Hlt24879081"/>
            <w:bookmarkStart w:id="164" w:name="_Hlt26671372"/>
            <w:bookmarkStart w:id="165" w:name="_Hlt26671343"/>
            <w:bookmarkStart w:id="166" w:name="_Hlt26609391"/>
            <w:r>
              <w:rPr>
                <w:rFonts w:hint="eastAsia" w:ascii="宋体" w:hAnsi="宋体" w:eastAsia="宋体" w:cs="宋体"/>
              </w:rPr>
              <w:t>序号</w:t>
            </w:r>
          </w:p>
          <w:bookmarkEnd w:id="159"/>
          <w:bookmarkEnd w:id="160"/>
          <w:bookmarkEnd w:id="161"/>
          <w:bookmarkEnd w:id="162"/>
          <w:bookmarkEnd w:id="163"/>
          <w:bookmarkEnd w:id="164"/>
          <w:bookmarkEnd w:id="165"/>
          <w:bookmarkEnd w:id="166"/>
        </w:tc>
        <w:tc>
          <w:tcPr>
            <w:tcW w:w="2801" w:type="dxa"/>
            <w:tcBorders>
              <w:top w:val="single" w:color="000000" w:sz="4" w:space="0"/>
              <w:left w:val="single" w:color="000000" w:sz="4" w:space="0"/>
              <w:bottom w:val="single" w:color="000000" w:sz="4" w:space="0"/>
              <w:right w:val="single" w:color="000000" w:sz="4" w:space="0"/>
            </w:tcBorders>
            <w:vAlign w:val="center"/>
          </w:tcPr>
          <w:p w14:paraId="39855742">
            <w:pPr>
              <w:pStyle w:val="9"/>
              <w:spacing w:beforeAutospacing="0" w:afterAutospacing="0"/>
              <w:jc w:val="center"/>
            </w:pPr>
            <w:r>
              <w:rPr>
                <w:rFonts w:hint="eastAsia" w:ascii="宋体" w:hAnsi="宋体" w:eastAsia="宋体" w:cs="宋体"/>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B714170">
            <w:pPr>
              <w:pStyle w:val="9"/>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2E843F2">
            <w:pPr>
              <w:pStyle w:val="9"/>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3838816">
            <w:pPr>
              <w:pStyle w:val="9"/>
              <w:spacing w:beforeAutospacing="0" w:afterAutospacing="0"/>
              <w:jc w:val="center"/>
            </w:pPr>
            <w:r>
              <w:rPr>
                <w:rFonts w:hint="eastAsia" w:ascii="宋体" w:hAnsi="宋体" w:eastAsia="宋体" w:cs="宋体"/>
              </w:rPr>
              <w:t>证明</w:t>
            </w:r>
          </w:p>
          <w:p w14:paraId="5808806B">
            <w:pPr>
              <w:pStyle w:val="9"/>
              <w:spacing w:beforeAutospacing="0" w:afterAutospacing="0"/>
              <w:jc w:val="center"/>
            </w:pPr>
            <w:r>
              <w:rPr>
                <w:rFonts w:hint="eastAsia" w:ascii="宋体" w:hAnsi="宋体" w:eastAsia="宋体" w:cs="宋体"/>
              </w:rPr>
              <w:t>材料</w:t>
            </w:r>
          </w:p>
        </w:tc>
      </w:tr>
      <w:tr w14:paraId="41F58184">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24F11FAF">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51595477">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B0A358A">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1B4E6F3">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40C967A">
            <w:pPr>
              <w:pStyle w:val="9"/>
              <w:spacing w:beforeAutospacing="0" w:afterAutospacing="0"/>
              <w:jc w:val="center"/>
            </w:pPr>
            <w:r>
              <w:t> </w:t>
            </w:r>
          </w:p>
        </w:tc>
      </w:tr>
      <w:tr w14:paraId="7D2A35C9">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02768278">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1777DD15">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C693DE7">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C78BE82">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3130CE">
            <w:pPr>
              <w:pStyle w:val="9"/>
              <w:spacing w:beforeAutospacing="0" w:afterAutospacing="0"/>
              <w:jc w:val="center"/>
            </w:pPr>
            <w:r>
              <w:t> </w:t>
            </w:r>
          </w:p>
        </w:tc>
      </w:tr>
      <w:tr w14:paraId="4DAEC38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575E4FE3">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582B98A5">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B8BE256">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076C266">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70CB5FF">
            <w:pPr>
              <w:pStyle w:val="9"/>
              <w:spacing w:beforeAutospacing="0" w:afterAutospacing="0"/>
              <w:jc w:val="center"/>
            </w:pPr>
            <w:r>
              <w:t> </w:t>
            </w:r>
          </w:p>
        </w:tc>
      </w:tr>
      <w:tr w14:paraId="47F3D45D">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44905F0C">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719B27FF">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85A5D44">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B8EED0">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AAE9E17">
            <w:pPr>
              <w:pStyle w:val="9"/>
              <w:spacing w:beforeAutospacing="0" w:afterAutospacing="0"/>
              <w:jc w:val="center"/>
            </w:pPr>
            <w:r>
              <w:t> </w:t>
            </w:r>
          </w:p>
        </w:tc>
      </w:tr>
      <w:tr w14:paraId="5FA4A5C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7026BEDC">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1974FE47">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84BA31D">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8BD67A7">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53E3C86">
            <w:pPr>
              <w:pStyle w:val="9"/>
              <w:spacing w:beforeAutospacing="0" w:afterAutospacing="0"/>
              <w:jc w:val="center"/>
            </w:pPr>
            <w:r>
              <w:t> </w:t>
            </w:r>
          </w:p>
        </w:tc>
      </w:tr>
      <w:tr w14:paraId="7E60CE56">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4A7815D0">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7BE99C95">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C290008">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BF30F24">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698C8EC">
            <w:pPr>
              <w:pStyle w:val="9"/>
              <w:spacing w:beforeAutospacing="0" w:afterAutospacing="0"/>
              <w:jc w:val="center"/>
            </w:pPr>
            <w:r>
              <w:t> </w:t>
            </w:r>
          </w:p>
        </w:tc>
      </w:tr>
      <w:tr w14:paraId="6FAAAA1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62D8B9D1">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2F5D7B71">
            <w:pPr>
              <w:pStyle w:val="9"/>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05562D6">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6BD7BD7">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E44C79D">
            <w:pPr>
              <w:pStyle w:val="9"/>
              <w:spacing w:beforeAutospacing="0" w:afterAutospacing="0"/>
              <w:jc w:val="center"/>
            </w:pPr>
            <w:r>
              <w:t> </w:t>
            </w:r>
          </w:p>
        </w:tc>
      </w:tr>
      <w:tr w14:paraId="75E8C56C">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014B8528">
            <w:pPr>
              <w:pStyle w:val="9"/>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493FF286">
            <w:pPr>
              <w:pStyle w:val="9"/>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3547D1DA">
            <w:pPr>
              <w:pStyle w:val="9"/>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F4A6EF7">
            <w:pPr>
              <w:pStyle w:val="9"/>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8FBA3F">
            <w:pPr>
              <w:pStyle w:val="9"/>
              <w:spacing w:beforeAutospacing="0" w:afterAutospacing="0"/>
              <w:jc w:val="center"/>
            </w:pPr>
            <w:r>
              <w:t> </w:t>
            </w:r>
          </w:p>
        </w:tc>
      </w:tr>
    </w:tbl>
    <w:p w14:paraId="7DEAA576">
      <w:pPr>
        <w:pStyle w:val="9"/>
        <w:spacing w:beforeAutospacing="0" w:afterAutospacing="0"/>
        <w:jc w:val="both"/>
      </w:pPr>
      <w:r>
        <w:rPr>
          <w:rFonts w:hint="eastAsia" w:ascii="宋体" w:hAnsi="宋体" w:eastAsia="宋体" w:cs="宋体"/>
        </w:rPr>
        <w:t>注： 行数不够，可自行添加。</w:t>
      </w:r>
    </w:p>
    <w:p w14:paraId="2DDA88FE">
      <w:pPr>
        <w:pStyle w:val="9"/>
        <w:spacing w:beforeAutospacing="0" w:afterAutospacing="0" w:line="480" w:lineRule="auto"/>
        <w:jc w:val="both"/>
      </w:pPr>
      <w:r>
        <w:t> </w:t>
      </w:r>
    </w:p>
    <w:p w14:paraId="33C64C1F">
      <w:pPr>
        <w:pStyle w:val="9"/>
        <w:spacing w:beforeAutospacing="0" w:afterAutospacing="0" w:line="480" w:lineRule="auto"/>
        <w:jc w:val="both"/>
      </w:pPr>
      <w:r>
        <w:t> </w:t>
      </w:r>
    </w:p>
    <w:p w14:paraId="5962FE8D">
      <w:pPr>
        <w:pStyle w:val="9"/>
        <w:spacing w:beforeAutospacing="0" w:afterAutospacing="0" w:line="480" w:lineRule="auto"/>
        <w:jc w:val="both"/>
      </w:pPr>
    </w:p>
    <w:p w14:paraId="45CC5764">
      <w:pPr>
        <w:pStyle w:val="9"/>
        <w:spacing w:beforeAutospacing="0" w:afterAutospacing="0" w:line="480" w:lineRule="auto"/>
        <w:jc w:val="both"/>
      </w:pPr>
    </w:p>
    <w:p w14:paraId="4B416DF2">
      <w:pPr>
        <w:pStyle w:val="9"/>
        <w:spacing w:beforeAutospacing="0" w:afterAutospacing="0" w:line="480" w:lineRule="auto"/>
        <w:jc w:val="both"/>
      </w:pPr>
    </w:p>
    <w:p w14:paraId="2823B5DB">
      <w:pPr>
        <w:pStyle w:val="9"/>
        <w:spacing w:beforeAutospacing="0" w:afterAutospacing="0" w:line="480" w:lineRule="auto"/>
        <w:jc w:val="both"/>
      </w:pPr>
    </w:p>
    <w:p w14:paraId="7D045D55">
      <w:pPr>
        <w:pStyle w:val="9"/>
        <w:spacing w:beforeAutospacing="0" w:afterAutospacing="0" w:line="480" w:lineRule="auto"/>
        <w:jc w:val="both"/>
      </w:pPr>
    </w:p>
    <w:p w14:paraId="2B7D90B9">
      <w:pPr>
        <w:pStyle w:val="9"/>
        <w:spacing w:beforeAutospacing="0" w:afterAutospacing="0" w:line="480" w:lineRule="auto"/>
        <w:jc w:val="both"/>
      </w:pPr>
    </w:p>
    <w:p w14:paraId="0B25D304">
      <w:pPr>
        <w:pStyle w:val="9"/>
        <w:spacing w:beforeAutospacing="0" w:afterAutospacing="0" w:line="480" w:lineRule="auto"/>
        <w:jc w:val="both"/>
      </w:pPr>
    </w:p>
    <w:p w14:paraId="451CF0B5">
      <w:pPr>
        <w:pStyle w:val="9"/>
        <w:spacing w:beforeAutospacing="0" w:afterAutospacing="0" w:line="480" w:lineRule="auto"/>
        <w:jc w:val="both"/>
      </w:pPr>
    </w:p>
    <w:p w14:paraId="024B28B3">
      <w:pPr>
        <w:pStyle w:val="9"/>
        <w:spacing w:beforeAutospacing="0" w:afterAutospacing="0" w:line="480" w:lineRule="auto"/>
        <w:jc w:val="both"/>
      </w:pPr>
    </w:p>
    <w:bookmarkEnd w:id="158"/>
    <w:p w14:paraId="1864FF72">
      <w:pPr>
        <w:pStyle w:val="9"/>
        <w:spacing w:beforeAutospacing="0" w:afterAutospacing="0"/>
        <w:jc w:val="both"/>
      </w:pPr>
      <w:r>
        <w:rPr>
          <w:rFonts w:hint="eastAsia" w:ascii="黑体" w:hAnsi="宋体" w:eastAsia="黑体" w:cs="黑体"/>
          <w:b/>
          <w:i/>
          <w:sz w:val="32"/>
          <w:szCs w:val="32"/>
          <w:u w:val="single"/>
        </w:rPr>
        <w:t>十</w:t>
      </w:r>
      <w:r>
        <w:rPr>
          <w:rFonts w:hint="eastAsia" w:ascii="黑体" w:hAnsi="宋体" w:eastAsia="黑体" w:cs="黑体"/>
          <w:b/>
          <w:i/>
          <w:sz w:val="32"/>
          <w:szCs w:val="32"/>
          <w:u w:val="single"/>
          <w:lang w:val="en-US" w:eastAsia="zh-CN"/>
        </w:rPr>
        <w:t>二</w:t>
      </w:r>
      <w:r>
        <w:rPr>
          <w:rFonts w:hint="eastAsia" w:ascii="黑体" w:hAnsi="宋体" w:eastAsia="黑体" w:cs="黑体"/>
          <w:b/>
          <w:i/>
          <w:sz w:val="32"/>
          <w:szCs w:val="32"/>
          <w:u w:val="single"/>
        </w:rPr>
        <w:t>、开标一览表</w:t>
      </w:r>
    </w:p>
    <w:p w14:paraId="75A87687">
      <w:pPr>
        <w:pStyle w:val="9"/>
        <w:spacing w:beforeAutospacing="0" w:afterAutospacing="0"/>
        <w:ind w:firstLine="480"/>
        <w:jc w:val="both"/>
      </w:pPr>
      <w:r>
        <w:rPr>
          <w:rFonts w:hint="eastAsia" w:ascii="宋体" w:hAnsi="宋体" w:eastAsia="宋体" w:cs="宋体"/>
        </w:rPr>
        <w:t>投标人全称（加盖CA电子签章）：</w:t>
      </w:r>
    </w:p>
    <w:p w14:paraId="5AD82023">
      <w:pPr>
        <w:pStyle w:val="9"/>
        <w:spacing w:beforeAutospacing="0" w:afterAutospacing="0"/>
        <w:ind w:firstLine="480"/>
        <w:jc w:val="both"/>
      </w:pPr>
      <w:r>
        <w:rPr>
          <w:rFonts w:hint="eastAsia" w:ascii="宋体" w:hAnsi="宋体" w:eastAsia="宋体" w:cs="宋体"/>
        </w:rPr>
        <w:t>项目名称：</w:t>
      </w:r>
    </w:p>
    <w:p w14:paraId="3055CBBD">
      <w:pPr>
        <w:pStyle w:val="9"/>
        <w:spacing w:beforeAutospacing="0" w:afterAutospacing="0"/>
        <w:ind w:firstLine="480"/>
        <w:jc w:val="both"/>
        <w:rPr>
          <w:rFonts w:hint="eastAsia" w:ascii="宋体" w:hAnsi="宋体" w:eastAsia="宋体" w:cs="宋体"/>
        </w:rPr>
      </w:pPr>
      <w:r>
        <w:rPr>
          <w:rFonts w:hint="eastAsia" w:ascii="宋体" w:hAnsi="宋体" w:eastAsia="宋体" w:cs="宋体"/>
        </w:rPr>
        <w:t>项目编号：</w:t>
      </w:r>
    </w:p>
    <w:p w14:paraId="6675D026">
      <w:pPr>
        <w:pStyle w:val="9"/>
        <w:spacing w:beforeAutospacing="0" w:afterAutospacing="0"/>
        <w:ind w:firstLine="480"/>
        <w:jc w:val="both"/>
      </w:pPr>
      <w:r>
        <w:rPr>
          <w:rFonts w:hint="eastAsia" w:ascii="宋体" w:hAnsi="宋体" w:eastAsia="宋体" w:cs="宋体"/>
        </w:rPr>
        <w:t>分包号：</w:t>
      </w:r>
    </w:p>
    <w:tbl>
      <w:tblPr>
        <w:tblStyle w:val="10"/>
        <w:tblW w:w="8206" w:type="dxa"/>
        <w:tblCellSpacing w:w="0" w:type="dxa"/>
        <w:tblInd w:w="118" w:type="dxa"/>
        <w:tblLayout w:type="fixed"/>
        <w:tblCellMar>
          <w:top w:w="0" w:type="dxa"/>
          <w:left w:w="108" w:type="dxa"/>
          <w:bottom w:w="0" w:type="dxa"/>
          <w:right w:w="108" w:type="dxa"/>
        </w:tblCellMar>
      </w:tblPr>
      <w:tblGrid>
        <w:gridCol w:w="8206"/>
      </w:tblGrid>
      <w:tr w14:paraId="5162FA48">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50BF2E60">
            <w:pPr>
              <w:pStyle w:val="9"/>
              <w:spacing w:beforeAutospacing="0" w:afterAutospacing="0"/>
              <w:jc w:val="center"/>
            </w:pPr>
            <w:r>
              <w:rPr>
                <w:rFonts w:hint="eastAsia" w:ascii="宋体" w:hAnsi="宋体" w:eastAsia="宋体" w:cs="宋体"/>
              </w:rPr>
              <w:t>投标总报价</w:t>
            </w:r>
          </w:p>
        </w:tc>
      </w:tr>
      <w:tr w14:paraId="7507008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5D287B17">
            <w:pPr>
              <w:pStyle w:val="9"/>
              <w:spacing w:beforeAutospacing="0" w:afterAutospacing="0" w:line="0" w:lineRule="atLeast"/>
              <w:rPr>
                <w:rFonts w:hint="eastAsia" w:ascii="宋体" w:hAnsi="宋体" w:eastAsia="宋体" w:cs="宋体"/>
              </w:rPr>
            </w:pPr>
            <w:r>
              <w:rPr>
                <w:rFonts w:hint="eastAsia" w:ascii="宋体" w:hAnsi="宋体" w:eastAsia="宋体" w:cs="宋体"/>
              </w:rPr>
              <w:t>大写：</w:t>
            </w:r>
          </w:p>
        </w:tc>
      </w:tr>
      <w:tr w14:paraId="59990F7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8AB95A8">
            <w:pPr>
              <w:pStyle w:val="9"/>
              <w:spacing w:beforeAutospacing="0" w:afterAutospacing="0" w:line="0" w:lineRule="atLeast"/>
            </w:pPr>
            <w:r>
              <w:rPr>
                <w:rFonts w:hint="eastAsia" w:ascii="宋体" w:hAnsi="宋体" w:eastAsia="宋体" w:cs="宋体"/>
              </w:rPr>
              <w:t>小写：                        （人民币：元）</w:t>
            </w:r>
          </w:p>
        </w:tc>
      </w:tr>
    </w:tbl>
    <w:p w14:paraId="5FF251D8">
      <w:pPr>
        <w:pStyle w:val="9"/>
        <w:spacing w:beforeAutospacing="0" w:afterAutospacing="0"/>
        <w:jc w:val="both"/>
      </w:pPr>
      <w:r>
        <w:t> </w:t>
      </w:r>
    </w:p>
    <w:p w14:paraId="6E3AA59B">
      <w:pPr>
        <w:pStyle w:val="9"/>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5AF018DA">
      <w:pPr>
        <w:pStyle w:val="9"/>
        <w:spacing w:beforeAutospacing="0" w:afterAutospacing="0"/>
        <w:ind w:firstLine="480"/>
        <w:jc w:val="both"/>
      </w:pPr>
      <w:r>
        <w:t> </w:t>
      </w:r>
    </w:p>
    <w:p w14:paraId="47F6529D">
      <w:pPr>
        <w:widowControl/>
        <w:spacing w:before="50" w:after="50"/>
        <w:jc w:val="center"/>
      </w:pPr>
      <w:r>
        <w:tab/>
      </w:r>
    </w:p>
    <w:p w14:paraId="4FCC2EB2">
      <w:pPr>
        <w:pStyle w:val="9"/>
        <w:spacing w:beforeAutospacing="0" w:afterAutospacing="0"/>
        <w:jc w:val="center"/>
      </w:pPr>
    </w:p>
    <w:p w14:paraId="67283E73">
      <w:pPr>
        <w:rPr>
          <w:rFonts w:hint="eastAsia" w:ascii="黑体" w:hAnsi="宋体" w:eastAsia="黑体" w:cs="黑体"/>
          <w:b/>
          <w:kern w:val="0"/>
          <w:sz w:val="32"/>
          <w:szCs w:val="32"/>
        </w:rPr>
      </w:pPr>
      <w:r>
        <w:rPr>
          <w:rFonts w:hint="eastAsia" w:ascii="黑体" w:hAnsi="宋体" w:eastAsia="黑体" w:cs="黑体"/>
          <w:b/>
          <w:kern w:val="0"/>
          <w:sz w:val="32"/>
          <w:szCs w:val="32"/>
        </w:rPr>
        <w:br w:type="page"/>
      </w:r>
    </w:p>
    <w:p w14:paraId="0DF0AF2D">
      <w:pPr>
        <w:widowControl/>
        <w:spacing w:before="50" w:after="50"/>
        <w:jc w:val="center"/>
        <w:rPr>
          <w:rFonts w:hint="eastAsia" w:ascii="宋体" w:hAnsi="宋体" w:eastAsia="宋体" w:cs="宋体"/>
          <w:sz w:val="24"/>
        </w:rPr>
      </w:pPr>
      <w:r>
        <w:rPr>
          <w:rFonts w:hint="eastAsia" w:ascii="宋体" w:hAnsi="宋体" w:eastAsia="宋体" w:cs="宋体"/>
          <w:sz w:val="32"/>
          <w:szCs w:val="32"/>
        </w:rPr>
        <w:t>十</w:t>
      </w:r>
      <w:r>
        <w:rPr>
          <w:rFonts w:hint="eastAsia" w:ascii="宋体" w:hAnsi="宋体" w:eastAsia="宋体" w:cs="宋体"/>
          <w:sz w:val="32"/>
          <w:szCs w:val="32"/>
          <w:lang w:eastAsia="zh-CN"/>
        </w:rPr>
        <w:t>三</w:t>
      </w:r>
      <w:r>
        <w:rPr>
          <w:rFonts w:hint="eastAsia" w:ascii="宋体" w:hAnsi="宋体" w:eastAsia="宋体" w:cs="宋体"/>
          <w:sz w:val="32"/>
          <w:szCs w:val="32"/>
        </w:rPr>
        <w:t>、技术方案、服务承诺、培训承诺等</w:t>
      </w:r>
    </w:p>
    <w:p w14:paraId="657D0C50">
      <w:pPr>
        <w:pStyle w:val="9"/>
        <w:tabs>
          <w:tab w:val="left" w:pos="2160"/>
        </w:tabs>
        <w:spacing w:beforeAutospacing="0" w:afterAutospacing="0"/>
        <w:jc w:val="both"/>
      </w:pPr>
    </w:p>
    <w:p w14:paraId="094E5765">
      <w:pPr>
        <w:widowControl/>
        <w:spacing w:line="499" w:lineRule="atLeast"/>
        <w:ind w:firstLine="1600"/>
        <w:rPr>
          <w:rFonts w:hint="eastAsia" w:ascii="宋体" w:hAnsi="宋体" w:eastAsia="宋体" w:cs="宋体"/>
          <w:sz w:val="32"/>
          <w:szCs w:val="32"/>
        </w:rPr>
      </w:pPr>
    </w:p>
    <w:p w14:paraId="1D7B7A9C">
      <w:pPr>
        <w:widowControl/>
        <w:spacing w:line="499" w:lineRule="atLeast"/>
        <w:ind w:firstLine="1600"/>
        <w:rPr>
          <w:rFonts w:hint="eastAsia" w:ascii="宋体" w:hAnsi="宋体" w:eastAsia="宋体" w:cs="宋体"/>
          <w:sz w:val="32"/>
          <w:szCs w:val="32"/>
        </w:rPr>
      </w:pPr>
    </w:p>
    <w:p w14:paraId="251B8000">
      <w:pPr>
        <w:widowControl/>
        <w:spacing w:line="499" w:lineRule="atLeast"/>
        <w:ind w:firstLine="1600"/>
        <w:rPr>
          <w:rFonts w:hint="eastAsia" w:ascii="宋体" w:hAnsi="宋体" w:eastAsia="宋体" w:cs="宋体"/>
          <w:sz w:val="32"/>
          <w:szCs w:val="32"/>
        </w:rPr>
      </w:pPr>
    </w:p>
    <w:p w14:paraId="2B0A44DC">
      <w:pPr>
        <w:widowControl/>
        <w:spacing w:line="499" w:lineRule="atLeast"/>
        <w:ind w:firstLine="1600"/>
        <w:rPr>
          <w:rFonts w:hint="eastAsia" w:ascii="宋体" w:hAnsi="宋体" w:eastAsia="宋体" w:cs="宋体"/>
          <w:sz w:val="32"/>
          <w:szCs w:val="32"/>
        </w:rPr>
      </w:pPr>
    </w:p>
    <w:p w14:paraId="440082FD">
      <w:pPr>
        <w:widowControl/>
        <w:spacing w:line="499" w:lineRule="atLeast"/>
        <w:ind w:firstLine="1600"/>
        <w:rPr>
          <w:rFonts w:hint="eastAsia" w:ascii="宋体" w:hAnsi="宋体" w:eastAsia="宋体" w:cs="宋体"/>
          <w:sz w:val="32"/>
          <w:szCs w:val="32"/>
        </w:rPr>
      </w:pPr>
    </w:p>
    <w:p w14:paraId="62AE004C">
      <w:pPr>
        <w:widowControl/>
        <w:spacing w:line="499" w:lineRule="atLeast"/>
        <w:ind w:firstLine="1600"/>
        <w:rPr>
          <w:rFonts w:hint="eastAsia" w:ascii="宋体" w:hAnsi="宋体" w:eastAsia="宋体" w:cs="宋体"/>
          <w:sz w:val="32"/>
          <w:szCs w:val="32"/>
        </w:rPr>
      </w:pPr>
    </w:p>
    <w:p w14:paraId="484E3C06">
      <w:pPr>
        <w:widowControl/>
        <w:spacing w:line="499" w:lineRule="atLeast"/>
        <w:ind w:firstLine="1600"/>
        <w:rPr>
          <w:rFonts w:hint="eastAsia" w:ascii="宋体" w:hAnsi="宋体" w:eastAsia="宋体" w:cs="宋体"/>
          <w:sz w:val="32"/>
          <w:szCs w:val="32"/>
        </w:rPr>
      </w:pPr>
    </w:p>
    <w:p w14:paraId="7C6198E7">
      <w:pPr>
        <w:widowControl/>
        <w:spacing w:line="499" w:lineRule="atLeast"/>
        <w:ind w:firstLine="1600"/>
        <w:rPr>
          <w:rFonts w:hint="eastAsia" w:ascii="宋体" w:hAnsi="宋体" w:eastAsia="宋体" w:cs="宋体"/>
          <w:sz w:val="32"/>
          <w:szCs w:val="32"/>
        </w:rPr>
      </w:pPr>
    </w:p>
    <w:p w14:paraId="4733D73E">
      <w:pPr>
        <w:widowControl/>
        <w:spacing w:line="499" w:lineRule="atLeast"/>
        <w:ind w:firstLine="1600"/>
        <w:rPr>
          <w:rFonts w:hint="eastAsia" w:ascii="宋体" w:hAnsi="宋体" w:eastAsia="宋体" w:cs="宋体"/>
          <w:sz w:val="32"/>
          <w:szCs w:val="32"/>
        </w:rPr>
      </w:pPr>
    </w:p>
    <w:p w14:paraId="2AD55325">
      <w:pPr>
        <w:widowControl/>
        <w:spacing w:line="499" w:lineRule="atLeast"/>
        <w:ind w:firstLine="1600"/>
        <w:rPr>
          <w:rFonts w:hint="eastAsia" w:ascii="宋体" w:hAnsi="宋体" w:eastAsia="宋体" w:cs="宋体"/>
          <w:sz w:val="32"/>
          <w:szCs w:val="32"/>
        </w:rPr>
      </w:pPr>
    </w:p>
    <w:p w14:paraId="54E38250">
      <w:pPr>
        <w:widowControl/>
        <w:spacing w:line="499" w:lineRule="atLeast"/>
        <w:ind w:firstLine="1600"/>
        <w:rPr>
          <w:rFonts w:hint="eastAsia" w:ascii="宋体" w:hAnsi="宋体" w:eastAsia="宋体" w:cs="宋体"/>
          <w:sz w:val="32"/>
          <w:szCs w:val="32"/>
        </w:rPr>
      </w:pPr>
    </w:p>
    <w:p w14:paraId="370B2908">
      <w:pPr>
        <w:widowControl/>
        <w:spacing w:line="499" w:lineRule="atLeast"/>
        <w:ind w:firstLine="1600"/>
        <w:rPr>
          <w:rFonts w:hint="eastAsia" w:ascii="宋体" w:hAnsi="宋体" w:eastAsia="宋体" w:cs="宋体"/>
          <w:sz w:val="32"/>
          <w:szCs w:val="32"/>
        </w:rPr>
      </w:pPr>
    </w:p>
    <w:p w14:paraId="4231D5F2">
      <w:pPr>
        <w:widowControl/>
        <w:spacing w:line="499" w:lineRule="atLeast"/>
        <w:ind w:firstLine="1600"/>
        <w:rPr>
          <w:rFonts w:hint="eastAsia" w:ascii="宋体" w:hAnsi="宋体" w:eastAsia="宋体" w:cs="宋体"/>
          <w:sz w:val="32"/>
          <w:szCs w:val="32"/>
        </w:rPr>
      </w:pPr>
    </w:p>
    <w:p w14:paraId="0CE98E0B">
      <w:pPr>
        <w:widowControl/>
        <w:spacing w:line="499" w:lineRule="atLeast"/>
        <w:ind w:firstLine="1600"/>
        <w:rPr>
          <w:rFonts w:hint="eastAsia" w:ascii="宋体" w:hAnsi="宋体" w:eastAsia="宋体" w:cs="宋体"/>
          <w:sz w:val="32"/>
          <w:szCs w:val="32"/>
        </w:rPr>
      </w:pPr>
    </w:p>
    <w:p w14:paraId="76FAE966">
      <w:pPr>
        <w:widowControl/>
        <w:spacing w:line="499" w:lineRule="atLeast"/>
        <w:ind w:firstLine="1600"/>
        <w:rPr>
          <w:rFonts w:hint="eastAsia" w:ascii="宋体" w:hAnsi="宋体" w:eastAsia="宋体" w:cs="宋体"/>
          <w:sz w:val="32"/>
          <w:szCs w:val="32"/>
        </w:rPr>
      </w:pPr>
    </w:p>
    <w:p w14:paraId="12D8F11B">
      <w:pPr>
        <w:widowControl/>
        <w:spacing w:line="499" w:lineRule="atLeast"/>
        <w:ind w:firstLine="1600"/>
        <w:rPr>
          <w:rFonts w:hint="eastAsia" w:ascii="宋体" w:hAnsi="宋体" w:eastAsia="宋体" w:cs="宋体"/>
          <w:sz w:val="32"/>
          <w:szCs w:val="32"/>
        </w:rPr>
      </w:pPr>
    </w:p>
    <w:p w14:paraId="27A666D0">
      <w:pPr>
        <w:widowControl/>
        <w:spacing w:line="499" w:lineRule="atLeast"/>
        <w:ind w:firstLine="1600"/>
        <w:rPr>
          <w:rFonts w:hint="eastAsia" w:ascii="宋体" w:hAnsi="宋体" w:eastAsia="宋体" w:cs="宋体"/>
          <w:sz w:val="32"/>
          <w:szCs w:val="32"/>
        </w:rPr>
      </w:pPr>
    </w:p>
    <w:p w14:paraId="35C2F069">
      <w:pPr>
        <w:widowControl/>
        <w:spacing w:line="499" w:lineRule="atLeast"/>
        <w:ind w:firstLine="1600"/>
        <w:rPr>
          <w:rFonts w:hint="eastAsia" w:ascii="宋体" w:hAnsi="宋体" w:eastAsia="宋体" w:cs="宋体"/>
          <w:sz w:val="32"/>
          <w:szCs w:val="32"/>
        </w:rPr>
      </w:pPr>
    </w:p>
    <w:p w14:paraId="128DC47D">
      <w:pPr>
        <w:widowControl/>
        <w:spacing w:line="499" w:lineRule="atLeast"/>
        <w:ind w:firstLine="1600"/>
        <w:rPr>
          <w:rFonts w:hint="eastAsia" w:ascii="宋体" w:hAnsi="宋体" w:eastAsia="宋体" w:cs="宋体"/>
          <w:sz w:val="32"/>
          <w:szCs w:val="32"/>
        </w:rPr>
      </w:pPr>
    </w:p>
    <w:p w14:paraId="63B7A8CE">
      <w:pPr>
        <w:widowControl/>
        <w:spacing w:line="499" w:lineRule="atLeast"/>
        <w:ind w:firstLine="1600"/>
        <w:rPr>
          <w:rFonts w:hint="eastAsia" w:ascii="宋体" w:hAnsi="宋体" w:eastAsia="宋体" w:cs="宋体"/>
          <w:sz w:val="32"/>
          <w:szCs w:val="32"/>
        </w:rPr>
      </w:pPr>
    </w:p>
    <w:p w14:paraId="17D3C5EC">
      <w:pPr>
        <w:widowControl/>
        <w:spacing w:line="499" w:lineRule="atLeast"/>
        <w:ind w:firstLine="1600"/>
        <w:rPr>
          <w:rFonts w:hint="eastAsia" w:ascii="宋体" w:hAnsi="宋体" w:eastAsia="宋体" w:cs="宋体"/>
          <w:b/>
          <w:bCs/>
          <w:sz w:val="24"/>
        </w:rPr>
      </w:pPr>
      <w:r>
        <w:rPr>
          <w:rFonts w:hint="eastAsia" w:ascii="宋体" w:hAnsi="宋体" w:eastAsia="宋体" w:cs="宋体"/>
          <w:b/>
          <w:bCs/>
          <w:sz w:val="32"/>
          <w:szCs w:val="32"/>
        </w:rPr>
        <w:t>十</w:t>
      </w:r>
      <w:r>
        <w:rPr>
          <w:rFonts w:hint="eastAsia" w:ascii="宋体" w:hAnsi="宋体" w:eastAsia="宋体" w:cs="宋体"/>
          <w:b/>
          <w:bCs/>
          <w:sz w:val="32"/>
          <w:szCs w:val="32"/>
          <w:lang w:val="en-US" w:eastAsia="zh-CN"/>
        </w:rPr>
        <w:t>四</w:t>
      </w:r>
      <w:r>
        <w:rPr>
          <w:rFonts w:hint="eastAsia" w:ascii="宋体" w:hAnsi="宋体" w:eastAsia="宋体" w:cs="宋体"/>
          <w:b/>
          <w:bCs/>
          <w:sz w:val="32"/>
          <w:szCs w:val="32"/>
        </w:rPr>
        <w:t>、盐城市政府采购事前信用承诺书</w:t>
      </w:r>
    </w:p>
    <w:p w14:paraId="325CB578">
      <w:pPr>
        <w:widowControl/>
        <w:spacing w:line="499" w:lineRule="atLeast"/>
        <w:ind w:firstLine="640"/>
        <w:jc w:val="left"/>
        <w:rPr>
          <w:rFonts w:hint="eastAsia" w:ascii="宋体" w:hAnsi="宋体" w:eastAsia="宋体" w:cs="宋体"/>
          <w:b/>
          <w:bCs/>
          <w:sz w:val="24"/>
        </w:rPr>
      </w:pPr>
      <w:r>
        <w:rPr>
          <w:rFonts w:hint="eastAsia" w:ascii="宋体" w:hAnsi="宋体" w:eastAsia="宋体" w:cs="宋体"/>
          <w:b/>
          <w:bCs/>
          <w:sz w:val="32"/>
          <w:szCs w:val="32"/>
        </w:rPr>
        <w:t> </w:t>
      </w:r>
    </w:p>
    <w:p w14:paraId="29AA820E">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0D4C152D">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AD51AC4">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C70AC9E">
      <w:pPr>
        <w:widowControl/>
        <w:spacing w:line="499" w:lineRule="atLeast"/>
        <w:jc w:val="left"/>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p>
    <w:p w14:paraId="299AF3F4">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388DA737">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D54BF13">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14:paraId="27330A6E">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C23DF39">
      <w:pPr>
        <w:widowControl/>
        <w:spacing w:line="499" w:lineRule="atLeast"/>
        <w:jc w:val="left"/>
        <w:rPr>
          <w:rFonts w:hint="eastAsia" w:ascii="宋体" w:hAnsi="宋体" w:eastAsia="宋体" w:cs="宋体"/>
          <w:sz w:val="24"/>
        </w:rPr>
      </w:pPr>
      <w:r>
        <w:rPr>
          <w:rFonts w:hint="eastAsia" w:ascii="宋体" w:hAnsi="宋体" w:eastAsia="宋体" w:cs="宋体"/>
          <w:sz w:val="24"/>
        </w:rPr>
        <w:t>  （八）本人已认真阅读了上述承诺，并向本单位员工作了宣传教育。</w:t>
      </w:r>
    </w:p>
    <w:p w14:paraId="37376F90">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14:paraId="64BFC9D7">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14:paraId="2CAF37D7">
      <w:pPr>
        <w:widowControl/>
        <w:spacing w:line="499" w:lineRule="atLeast"/>
        <w:jc w:val="center"/>
        <w:rPr>
          <w:rFonts w:hint="eastAsia" w:ascii="宋体" w:hAnsi="宋体" w:eastAsia="宋体" w:cs="宋体"/>
          <w:sz w:val="24"/>
        </w:rPr>
      </w:pPr>
      <w:r>
        <w:rPr>
          <w:rFonts w:hint="eastAsia" w:ascii="宋体" w:hAnsi="宋体" w:eastAsia="宋体" w:cs="宋体"/>
          <w:sz w:val="24"/>
        </w:rPr>
        <w:t>                      年 月 日</w:t>
      </w:r>
    </w:p>
    <w:p w14:paraId="58FDFAD0">
      <w:pPr>
        <w:pStyle w:val="9"/>
        <w:spacing w:beforeAutospacing="0" w:afterAutospacing="0"/>
        <w:jc w:val="center"/>
      </w:pPr>
    </w:p>
    <w:p w14:paraId="228BD0E3"/>
    <w:p w14:paraId="68D94757">
      <w:pPr>
        <w:pStyle w:val="9"/>
        <w:spacing w:beforeAutospacing="0" w:afterAutospacing="0"/>
        <w:jc w:val="center"/>
        <w:rPr>
          <w:rFonts w:hint="eastAsia" w:ascii="宋体" w:hAnsi="宋体" w:eastAsia="宋体" w:cs="宋体"/>
          <w:b/>
          <w:sz w:val="32"/>
          <w:szCs w:val="32"/>
        </w:rPr>
      </w:pPr>
      <w:r>
        <w:rPr>
          <w:rFonts w:hint="eastAsia" w:ascii="宋体" w:hAnsi="宋体" w:eastAsia="宋体" w:cs="宋体"/>
          <w:b/>
          <w:sz w:val="32"/>
          <w:szCs w:val="32"/>
        </w:rPr>
        <w:t>质疑函范本</w:t>
      </w:r>
    </w:p>
    <w:p w14:paraId="7292BB41">
      <w:pPr>
        <w:pStyle w:val="9"/>
        <w:spacing w:before="290" w:beforeAutospacing="0" w:afterAutospacing="0" w:line="360" w:lineRule="auto"/>
        <w:jc w:val="both"/>
        <w:rPr>
          <w:rFonts w:hint="eastAsia" w:ascii="宋体" w:hAnsi="宋体" w:eastAsia="宋体" w:cs="宋体"/>
        </w:rPr>
      </w:pPr>
      <w:r>
        <w:rPr>
          <w:rFonts w:hint="eastAsia" w:ascii="宋体" w:hAnsi="宋体" w:eastAsia="宋体" w:cs="宋体"/>
        </w:rPr>
        <w:t>一、质疑供应商基本信息</w:t>
      </w:r>
    </w:p>
    <w:p w14:paraId="0226A6FA">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1FE069C3">
      <w:pPr>
        <w:pStyle w:val="9"/>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7F46265F">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413AF4C3">
      <w:pPr>
        <w:pStyle w:val="9"/>
        <w:spacing w:beforeAutospacing="0" w:afterAutospacing="0" w:line="360" w:lineRule="auto"/>
        <w:jc w:val="both"/>
        <w:rPr>
          <w:rFonts w:hint="eastAsia"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0DCCA633">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7F109F55">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BBD718C">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6DB9D076">
      <w:pPr>
        <w:pStyle w:val="9"/>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0C7F3F73">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08B1C691">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二、质疑项目基本情况</w:t>
      </w:r>
    </w:p>
    <w:p w14:paraId="271B6D76">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624317F7">
      <w:pPr>
        <w:pStyle w:val="9"/>
        <w:spacing w:beforeAutospacing="0" w:afterAutospacing="0" w:line="360" w:lineRule="auto"/>
        <w:jc w:val="both"/>
        <w:rPr>
          <w:rFonts w:hint="eastAsia"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42FB3F3D">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BB5DF34">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4B4091C6">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采购文件获取日期：</w:t>
      </w:r>
      <w:r>
        <w:rPr>
          <w:rFonts w:hint="eastAsia" w:ascii="宋体" w:hAnsi="宋体" w:eastAsia="宋体" w:cs="宋体"/>
          <w:u w:val="single"/>
        </w:rPr>
        <w:t xml:space="preserve">                             </w:t>
      </w:r>
    </w:p>
    <w:p w14:paraId="07254880">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三、质疑事项具体内容</w:t>
      </w:r>
    </w:p>
    <w:p w14:paraId="3C5B1BBC">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0E43CED8">
      <w:pPr>
        <w:pStyle w:val="9"/>
        <w:spacing w:beforeAutospacing="0" w:afterAutospacing="0" w:line="360" w:lineRule="auto"/>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5A62FC40">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2273FD8A">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质疑事项2</w:t>
      </w:r>
    </w:p>
    <w:p w14:paraId="56D26C40">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w:t>
      </w:r>
    </w:p>
    <w:p w14:paraId="618FBA46">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四、与质疑事项相关的质疑请求</w:t>
      </w:r>
    </w:p>
    <w:p w14:paraId="61EA0644">
      <w:pPr>
        <w:pStyle w:val="9"/>
        <w:spacing w:beforeAutospacing="0" w:afterAutospacing="0" w:line="360" w:lineRule="auto"/>
        <w:jc w:val="both"/>
        <w:rPr>
          <w:rFonts w:hint="eastAsia"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69FF3BB0">
      <w:pPr>
        <w:pStyle w:val="9"/>
        <w:spacing w:beforeAutospacing="0" w:afterAutospacing="0"/>
        <w:jc w:val="both"/>
        <w:rPr>
          <w:rFonts w:hint="eastAsia" w:ascii="宋体" w:hAnsi="宋体" w:eastAsia="宋体" w:cs="宋体"/>
        </w:rPr>
      </w:pPr>
      <w:r>
        <w:rPr>
          <w:rFonts w:hint="eastAsia" w:ascii="宋体" w:hAnsi="宋体" w:eastAsia="宋体" w:cs="宋体"/>
        </w:rPr>
        <w:t xml:space="preserve">签字(签章)：                 公章：               日期：    </w:t>
      </w:r>
    </w:p>
    <w:p w14:paraId="7FA1B8BC">
      <w:pPr>
        <w:pStyle w:val="9"/>
        <w:spacing w:beforeAutospacing="0" w:afterAutospacing="0" w:line="0" w:lineRule="atLeast"/>
        <w:jc w:val="both"/>
        <w:rPr>
          <w:rFonts w:hint="eastAsia" w:ascii="宋体" w:hAnsi="宋体" w:eastAsia="宋体" w:cs="宋体"/>
        </w:rPr>
      </w:pPr>
      <w:r>
        <w:rPr>
          <w:rFonts w:hint="eastAsia" w:ascii="宋体" w:hAnsi="宋体" w:eastAsia="宋体" w:cs="宋体"/>
          <w:b/>
        </w:rPr>
        <w:t>质疑函制作说明：</w:t>
      </w:r>
    </w:p>
    <w:p w14:paraId="7A38F06A">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1.供应商提出质疑时，应提交质疑函和必要的证明材料。</w:t>
      </w:r>
    </w:p>
    <w:p w14:paraId="756C16E7">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B79A9F">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14:paraId="74B3A598">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14:paraId="2AE49E46">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5.质疑函的质疑请求应与质疑事项相关。</w:t>
      </w:r>
    </w:p>
    <w:p w14:paraId="1F98A631">
      <w:pPr>
        <w:pStyle w:val="9"/>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3E2C7992">
      <w:pPr>
        <w:pStyle w:val="9"/>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4B40B2BA"/>
    <w:p w14:paraId="0C155780"/>
    <w:p w14:paraId="29CA7962">
      <w:pPr>
        <w:pStyle w:val="9"/>
        <w:spacing w:beforeAutospacing="0" w:afterAutospacing="0"/>
        <w:jc w:val="center"/>
      </w:pPr>
    </w:p>
    <w:p w14:paraId="579F5AB3">
      <w:pPr>
        <w:pStyle w:val="9"/>
        <w:spacing w:beforeAutospacing="0" w:afterAutospacing="0"/>
        <w:jc w:val="center"/>
      </w:pPr>
    </w:p>
    <w:p w14:paraId="1767646A">
      <w:pPr>
        <w:pStyle w:val="9"/>
        <w:spacing w:beforeAutospacing="0" w:afterAutospacing="0"/>
        <w:jc w:val="cente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D5545">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05576">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4B05576">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1716B5"/>
    <w:multiLevelType w:val="singleLevel"/>
    <w:tmpl w:val="7E1716B5"/>
    <w:lvl w:ilvl="0" w:tentative="0">
      <w:start w:val="4"/>
      <w:numFmt w:val="chineseCounting"/>
      <w:suff w:val="space"/>
      <w:lvlText w:val="第%1章"/>
      <w:lvlJc w:val="left"/>
      <w:pPr>
        <w:ind w:left="2888"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RkYWViMjJiZGM3MTIxMDFiZjUwOWE4MmI2ZDEyZGMifQ=="/>
  </w:docVars>
  <w:rsids>
    <w:rsidRoot w:val="00172A27"/>
    <w:rsid w:val="00015C33"/>
    <w:rsid w:val="000519DB"/>
    <w:rsid w:val="000B6058"/>
    <w:rsid w:val="00162963"/>
    <w:rsid w:val="00172A27"/>
    <w:rsid w:val="00175E28"/>
    <w:rsid w:val="001C2D5D"/>
    <w:rsid w:val="001F04E3"/>
    <w:rsid w:val="002173A0"/>
    <w:rsid w:val="002741F7"/>
    <w:rsid w:val="002A4E99"/>
    <w:rsid w:val="002F46D5"/>
    <w:rsid w:val="003900C7"/>
    <w:rsid w:val="003A5F4C"/>
    <w:rsid w:val="00447269"/>
    <w:rsid w:val="004529E6"/>
    <w:rsid w:val="00460BA9"/>
    <w:rsid w:val="00463848"/>
    <w:rsid w:val="004C0AA7"/>
    <w:rsid w:val="004F36D8"/>
    <w:rsid w:val="005107E6"/>
    <w:rsid w:val="00545247"/>
    <w:rsid w:val="006014D4"/>
    <w:rsid w:val="0069065B"/>
    <w:rsid w:val="006F0739"/>
    <w:rsid w:val="007679B3"/>
    <w:rsid w:val="00774314"/>
    <w:rsid w:val="008A770C"/>
    <w:rsid w:val="00997378"/>
    <w:rsid w:val="009C1120"/>
    <w:rsid w:val="009C3FA7"/>
    <w:rsid w:val="00A54D6F"/>
    <w:rsid w:val="00A57DE7"/>
    <w:rsid w:val="00A937A2"/>
    <w:rsid w:val="00B20269"/>
    <w:rsid w:val="00BD6304"/>
    <w:rsid w:val="00C80A8D"/>
    <w:rsid w:val="00CE7224"/>
    <w:rsid w:val="00D550E3"/>
    <w:rsid w:val="00D9577C"/>
    <w:rsid w:val="00EC2235"/>
    <w:rsid w:val="00EF459A"/>
    <w:rsid w:val="00F1207A"/>
    <w:rsid w:val="00F24641"/>
    <w:rsid w:val="00F61032"/>
    <w:rsid w:val="00FA162B"/>
    <w:rsid w:val="00FD2179"/>
    <w:rsid w:val="00FE254C"/>
    <w:rsid w:val="014036E0"/>
    <w:rsid w:val="015C3D17"/>
    <w:rsid w:val="01970109"/>
    <w:rsid w:val="027A75D8"/>
    <w:rsid w:val="02851591"/>
    <w:rsid w:val="02BD5381"/>
    <w:rsid w:val="02D505AD"/>
    <w:rsid w:val="02EC06FE"/>
    <w:rsid w:val="02F56D74"/>
    <w:rsid w:val="034E4AD1"/>
    <w:rsid w:val="037E0789"/>
    <w:rsid w:val="038006ED"/>
    <w:rsid w:val="0432236E"/>
    <w:rsid w:val="04CB5FDF"/>
    <w:rsid w:val="04CF1FA6"/>
    <w:rsid w:val="056E5657"/>
    <w:rsid w:val="05837DE1"/>
    <w:rsid w:val="06093262"/>
    <w:rsid w:val="062C42CE"/>
    <w:rsid w:val="067D77AC"/>
    <w:rsid w:val="068A6E34"/>
    <w:rsid w:val="07994E3B"/>
    <w:rsid w:val="07A02A3F"/>
    <w:rsid w:val="07A40F48"/>
    <w:rsid w:val="0803189B"/>
    <w:rsid w:val="0854758E"/>
    <w:rsid w:val="08992D34"/>
    <w:rsid w:val="09132265"/>
    <w:rsid w:val="0A176CD8"/>
    <w:rsid w:val="0A8F127E"/>
    <w:rsid w:val="0AAC1C8D"/>
    <w:rsid w:val="0ABC363A"/>
    <w:rsid w:val="0AD8294B"/>
    <w:rsid w:val="0B4B3B00"/>
    <w:rsid w:val="0B751E66"/>
    <w:rsid w:val="0B8A23C1"/>
    <w:rsid w:val="0BAE3813"/>
    <w:rsid w:val="0D4D2FC1"/>
    <w:rsid w:val="0E0362D5"/>
    <w:rsid w:val="0E520394"/>
    <w:rsid w:val="0E966A8C"/>
    <w:rsid w:val="0EE61CD2"/>
    <w:rsid w:val="0F570C13"/>
    <w:rsid w:val="0F6D24BC"/>
    <w:rsid w:val="0F7D537E"/>
    <w:rsid w:val="10007707"/>
    <w:rsid w:val="11AB711C"/>
    <w:rsid w:val="124675EC"/>
    <w:rsid w:val="124B075F"/>
    <w:rsid w:val="12D31143"/>
    <w:rsid w:val="12F015A0"/>
    <w:rsid w:val="139513AE"/>
    <w:rsid w:val="13B93252"/>
    <w:rsid w:val="13C24A51"/>
    <w:rsid w:val="14477BA7"/>
    <w:rsid w:val="14BA7E1E"/>
    <w:rsid w:val="14F83455"/>
    <w:rsid w:val="15FB249C"/>
    <w:rsid w:val="169263C8"/>
    <w:rsid w:val="16A61788"/>
    <w:rsid w:val="16E86EC4"/>
    <w:rsid w:val="17666D47"/>
    <w:rsid w:val="177E4C81"/>
    <w:rsid w:val="18BC4109"/>
    <w:rsid w:val="193260E4"/>
    <w:rsid w:val="19835197"/>
    <w:rsid w:val="19C808E7"/>
    <w:rsid w:val="19E5389A"/>
    <w:rsid w:val="1A226249"/>
    <w:rsid w:val="1A4F2C83"/>
    <w:rsid w:val="1AAC0021"/>
    <w:rsid w:val="1AD2708F"/>
    <w:rsid w:val="1AD67034"/>
    <w:rsid w:val="1B3A35E0"/>
    <w:rsid w:val="1B5F5046"/>
    <w:rsid w:val="1B9509DF"/>
    <w:rsid w:val="1BA002D8"/>
    <w:rsid w:val="1CAC4347"/>
    <w:rsid w:val="1D1C1092"/>
    <w:rsid w:val="1D605A5A"/>
    <w:rsid w:val="1DFD1285"/>
    <w:rsid w:val="1E032835"/>
    <w:rsid w:val="1E262080"/>
    <w:rsid w:val="1EC70509"/>
    <w:rsid w:val="1EE73F05"/>
    <w:rsid w:val="1F4A0271"/>
    <w:rsid w:val="1F7943BF"/>
    <w:rsid w:val="1FC7762D"/>
    <w:rsid w:val="20633BFB"/>
    <w:rsid w:val="20733730"/>
    <w:rsid w:val="20A83FAF"/>
    <w:rsid w:val="215025DE"/>
    <w:rsid w:val="217C1C14"/>
    <w:rsid w:val="21A600A9"/>
    <w:rsid w:val="21CC717D"/>
    <w:rsid w:val="2201457B"/>
    <w:rsid w:val="22424AA4"/>
    <w:rsid w:val="228F6446"/>
    <w:rsid w:val="22F62B8A"/>
    <w:rsid w:val="23254D08"/>
    <w:rsid w:val="23534E2B"/>
    <w:rsid w:val="23986557"/>
    <w:rsid w:val="242C02D7"/>
    <w:rsid w:val="24533DC2"/>
    <w:rsid w:val="24DF1DD4"/>
    <w:rsid w:val="24E23DF2"/>
    <w:rsid w:val="2532334D"/>
    <w:rsid w:val="254E4396"/>
    <w:rsid w:val="25B85CB3"/>
    <w:rsid w:val="264E543C"/>
    <w:rsid w:val="26750FF7"/>
    <w:rsid w:val="27194423"/>
    <w:rsid w:val="27290FC5"/>
    <w:rsid w:val="28F9286B"/>
    <w:rsid w:val="28FE41FC"/>
    <w:rsid w:val="29345C52"/>
    <w:rsid w:val="2996274E"/>
    <w:rsid w:val="2A4648B7"/>
    <w:rsid w:val="2B005440"/>
    <w:rsid w:val="2C03574A"/>
    <w:rsid w:val="2C5A1872"/>
    <w:rsid w:val="2C7B3B05"/>
    <w:rsid w:val="2CC277F5"/>
    <w:rsid w:val="2D5E5D04"/>
    <w:rsid w:val="2D9F03F4"/>
    <w:rsid w:val="2DF950BB"/>
    <w:rsid w:val="2E5E7AF7"/>
    <w:rsid w:val="2EE73822"/>
    <w:rsid w:val="2F8A06C1"/>
    <w:rsid w:val="2FAD4FD9"/>
    <w:rsid w:val="2FB346FB"/>
    <w:rsid w:val="2FE1763D"/>
    <w:rsid w:val="2FFA5778"/>
    <w:rsid w:val="30495C84"/>
    <w:rsid w:val="30650005"/>
    <w:rsid w:val="30701028"/>
    <w:rsid w:val="310333AD"/>
    <w:rsid w:val="31522189"/>
    <w:rsid w:val="329E6CD8"/>
    <w:rsid w:val="32D77AA0"/>
    <w:rsid w:val="33440753"/>
    <w:rsid w:val="33773E42"/>
    <w:rsid w:val="34340C44"/>
    <w:rsid w:val="34AF679F"/>
    <w:rsid w:val="34E14EA2"/>
    <w:rsid w:val="34E346A0"/>
    <w:rsid w:val="359B1151"/>
    <w:rsid w:val="35AD49A2"/>
    <w:rsid w:val="36172BC3"/>
    <w:rsid w:val="36193799"/>
    <w:rsid w:val="36BE6EA2"/>
    <w:rsid w:val="36CA3005"/>
    <w:rsid w:val="36CC7C95"/>
    <w:rsid w:val="36EB650A"/>
    <w:rsid w:val="372F1B4E"/>
    <w:rsid w:val="378133A9"/>
    <w:rsid w:val="3819336A"/>
    <w:rsid w:val="383A233E"/>
    <w:rsid w:val="38FF46C7"/>
    <w:rsid w:val="39101F1B"/>
    <w:rsid w:val="392D7EB3"/>
    <w:rsid w:val="39720FC7"/>
    <w:rsid w:val="39822409"/>
    <w:rsid w:val="39CD52E9"/>
    <w:rsid w:val="3A64388F"/>
    <w:rsid w:val="3ABB2462"/>
    <w:rsid w:val="3B0B043D"/>
    <w:rsid w:val="3BB645EB"/>
    <w:rsid w:val="3BDF2457"/>
    <w:rsid w:val="3C3434B7"/>
    <w:rsid w:val="3C841D1E"/>
    <w:rsid w:val="3D23372C"/>
    <w:rsid w:val="3DF80C94"/>
    <w:rsid w:val="3E064F5A"/>
    <w:rsid w:val="3E161B6B"/>
    <w:rsid w:val="3E7F5998"/>
    <w:rsid w:val="3F0056DB"/>
    <w:rsid w:val="3F1A3023"/>
    <w:rsid w:val="3F243A9D"/>
    <w:rsid w:val="40350295"/>
    <w:rsid w:val="40514D88"/>
    <w:rsid w:val="4058639A"/>
    <w:rsid w:val="406E1D8D"/>
    <w:rsid w:val="42053C57"/>
    <w:rsid w:val="42214BD9"/>
    <w:rsid w:val="42324DFA"/>
    <w:rsid w:val="431353F3"/>
    <w:rsid w:val="43455446"/>
    <w:rsid w:val="43A35D9D"/>
    <w:rsid w:val="44303D88"/>
    <w:rsid w:val="4469669F"/>
    <w:rsid w:val="44DA072F"/>
    <w:rsid w:val="454D0F8E"/>
    <w:rsid w:val="45FC0A54"/>
    <w:rsid w:val="461D469A"/>
    <w:rsid w:val="466976E6"/>
    <w:rsid w:val="46EA0CE7"/>
    <w:rsid w:val="46F320F9"/>
    <w:rsid w:val="470D4256"/>
    <w:rsid w:val="472208AE"/>
    <w:rsid w:val="47704C41"/>
    <w:rsid w:val="47815C7E"/>
    <w:rsid w:val="47B925F3"/>
    <w:rsid w:val="48910AEC"/>
    <w:rsid w:val="48B3170D"/>
    <w:rsid w:val="48B453AA"/>
    <w:rsid w:val="493C7DE9"/>
    <w:rsid w:val="4A1E13B4"/>
    <w:rsid w:val="4A2C49B0"/>
    <w:rsid w:val="4A7D1B0F"/>
    <w:rsid w:val="4AAC50D1"/>
    <w:rsid w:val="4C5A2B74"/>
    <w:rsid w:val="4D2D20D9"/>
    <w:rsid w:val="4D93478D"/>
    <w:rsid w:val="4DA074F7"/>
    <w:rsid w:val="4DA33F07"/>
    <w:rsid w:val="4DDE52C0"/>
    <w:rsid w:val="4DF55447"/>
    <w:rsid w:val="4F027E1C"/>
    <w:rsid w:val="4F0A0A7E"/>
    <w:rsid w:val="50100AB3"/>
    <w:rsid w:val="507961B4"/>
    <w:rsid w:val="50A1397F"/>
    <w:rsid w:val="50E33CBB"/>
    <w:rsid w:val="51910430"/>
    <w:rsid w:val="51C75DFE"/>
    <w:rsid w:val="51D4384D"/>
    <w:rsid w:val="52741FCB"/>
    <w:rsid w:val="52D06B10"/>
    <w:rsid w:val="53536515"/>
    <w:rsid w:val="536B21BA"/>
    <w:rsid w:val="53A862CC"/>
    <w:rsid w:val="542A0FDA"/>
    <w:rsid w:val="54ED53D0"/>
    <w:rsid w:val="54F161CB"/>
    <w:rsid w:val="55091CCC"/>
    <w:rsid w:val="56307253"/>
    <w:rsid w:val="56453199"/>
    <w:rsid w:val="56FF7285"/>
    <w:rsid w:val="571B6F4E"/>
    <w:rsid w:val="577C44E3"/>
    <w:rsid w:val="582F6DAB"/>
    <w:rsid w:val="58AD45AF"/>
    <w:rsid w:val="58D4718C"/>
    <w:rsid w:val="59A82CA5"/>
    <w:rsid w:val="5AD536B4"/>
    <w:rsid w:val="5AEA4CCC"/>
    <w:rsid w:val="5B031B11"/>
    <w:rsid w:val="5B786240"/>
    <w:rsid w:val="5B96574B"/>
    <w:rsid w:val="5BF66BF0"/>
    <w:rsid w:val="5C5A652B"/>
    <w:rsid w:val="5D777C27"/>
    <w:rsid w:val="5DD1318C"/>
    <w:rsid w:val="5DE138D8"/>
    <w:rsid w:val="5E1921ED"/>
    <w:rsid w:val="5EDC2437"/>
    <w:rsid w:val="5F7D5E8E"/>
    <w:rsid w:val="5F7F522A"/>
    <w:rsid w:val="5FC67A7F"/>
    <w:rsid w:val="60107EBF"/>
    <w:rsid w:val="601337BB"/>
    <w:rsid w:val="603D1BCE"/>
    <w:rsid w:val="618F13C5"/>
    <w:rsid w:val="61DD46AC"/>
    <w:rsid w:val="62A87E16"/>
    <w:rsid w:val="62CA561A"/>
    <w:rsid w:val="62FE0DBD"/>
    <w:rsid w:val="6313315F"/>
    <w:rsid w:val="63CD6C1F"/>
    <w:rsid w:val="64A56430"/>
    <w:rsid w:val="65801B72"/>
    <w:rsid w:val="65BB2793"/>
    <w:rsid w:val="65E75C0B"/>
    <w:rsid w:val="667027CF"/>
    <w:rsid w:val="6688694C"/>
    <w:rsid w:val="672030DD"/>
    <w:rsid w:val="67530DBD"/>
    <w:rsid w:val="67717495"/>
    <w:rsid w:val="68190BCD"/>
    <w:rsid w:val="68245589"/>
    <w:rsid w:val="68777DD2"/>
    <w:rsid w:val="69983CE0"/>
    <w:rsid w:val="6A1C1694"/>
    <w:rsid w:val="6A751DB0"/>
    <w:rsid w:val="6AB95533"/>
    <w:rsid w:val="6AC9516E"/>
    <w:rsid w:val="6B037E0E"/>
    <w:rsid w:val="6BDE41BB"/>
    <w:rsid w:val="6C5462A8"/>
    <w:rsid w:val="6C917FD7"/>
    <w:rsid w:val="6EBD6FDF"/>
    <w:rsid w:val="6EF03395"/>
    <w:rsid w:val="6EF94940"/>
    <w:rsid w:val="70A772A4"/>
    <w:rsid w:val="71BB7860"/>
    <w:rsid w:val="72440385"/>
    <w:rsid w:val="736E54E1"/>
    <w:rsid w:val="73761484"/>
    <w:rsid w:val="742F670E"/>
    <w:rsid w:val="743F3C99"/>
    <w:rsid w:val="745C53E4"/>
    <w:rsid w:val="74835482"/>
    <w:rsid w:val="74877DC7"/>
    <w:rsid w:val="75610B49"/>
    <w:rsid w:val="75890D8F"/>
    <w:rsid w:val="75B043EA"/>
    <w:rsid w:val="76D90F68"/>
    <w:rsid w:val="77C1540B"/>
    <w:rsid w:val="783E7320"/>
    <w:rsid w:val="78CB19C0"/>
    <w:rsid w:val="78F35EFE"/>
    <w:rsid w:val="78FF5669"/>
    <w:rsid w:val="793275BA"/>
    <w:rsid w:val="79A724F1"/>
    <w:rsid w:val="7A4B7878"/>
    <w:rsid w:val="7A517275"/>
    <w:rsid w:val="7A6D100D"/>
    <w:rsid w:val="7ABE2599"/>
    <w:rsid w:val="7B232E76"/>
    <w:rsid w:val="7C56760C"/>
    <w:rsid w:val="7C5F16F8"/>
    <w:rsid w:val="7C9D3E10"/>
    <w:rsid w:val="7CAF2E48"/>
    <w:rsid w:val="7CB122FF"/>
    <w:rsid w:val="7D2A47D7"/>
    <w:rsid w:val="7D761851"/>
    <w:rsid w:val="7DA261A2"/>
    <w:rsid w:val="7DBA67DE"/>
    <w:rsid w:val="7DF53ACA"/>
    <w:rsid w:val="7F0E4C61"/>
    <w:rsid w:val="7F482C8E"/>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仿宋_GB2312" w:eastAsia="仿宋_GB2312"/>
    </w:rPr>
  </w:style>
  <w:style w:type="paragraph" w:styleId="3">
    <w:name w:val="Body Text"/>
    <w:basedOn w:val="1"/>
    <w:semiHidden/>
    <w:qFormat/>
    <w:uiPriority w:val="0"/>
    <w:rPr>
      <w:rFonts w:ascii="黑体" w:hAnsi="黑体" w:eastAsia="黑体" w:cs="黑体"/>
      <w:sz w:val="30"/>
      <w:szCs w:val="30"/>
      <w:lang w:eastAsia="en-US"/>
    </w:r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szCs w:val="20"/>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一级条标题"/>
    <w:basedOn w:val="14"/>
    <w:next w:val="15"/>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14">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15">
    <w:name w:val="段"/>
    <w:next w:val="16"/>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6">
    <w:name w:val="正文 A"/>
    <w:next w:val="15"/>
    <w:qFormat/>
    <w:uiPriority w:val="0"/>
    <w:pPr>
      <w:widowControl w:val="0"/>
      <w:jc w:val="both"/>
    </w:pPr>
    <w:rPr>
      <w:rFonts w:ascii="Times New Roman" w:hAnsi="Times New Roman" w:eastAsia="Calibri" w:cs="Calibri"/>
      <w:color w:val="000000"/>
      <w:sz w:val="21"/>
      <w:szCs w:val="21"/>
      <w:lang w:val="en-US" w:eastAsia="zh-CN" w:bidi="ar-SA"/>
    </w:rPr>
  </w:style>
  <w:style w:type="paragraph" w:customStyle="1" w:styleId="17">
    <w:name w:val="正文首行缩进1"/>
    <w:basedOn w:val="18"/>
    <w:qFormat/>
    <w:uiPriority w:val="0"/>
    <w:pPr>
      <w:spacing w:line="360" w:lineRule="auto"/>
      <w:ind w:firstLine="200"/>
    </w:pPr>
    <w:rPr>
      <w:rFonts w:ascii="仿宋_GB2312" w:eastAsia="仿宋_GB2312"/>
      <w:sz w:val="30"/>
      <w:szCs w:val="30"/>
    </w:rPr>
  </w:style>
  <w:style w:type="paragraph" w:customStyle="1" w:styleId="18">
    <w:name w:val="正文文本1"/>
    <w:basedOn w:val="1"/>
    <w:next w:val="13"/>
    <w:qFormat/>
    <w:uiPriority w:val="0"/>
    <w:rPr>
      <w:rFonts w:ascii="楷体_GB2312" w:hAnsi="Arial" w:eastAsia="楷体_GB2312"/>
      <w:sz w:val="28"/>
      <w:szCs w:val="28"/>
    </w:rPr>
  </w:style>
  <w:style w:type="character" w:customStyle="1" w:styleId="19">
    <w:name w:val="页眉 字符"/>
    <w:basedOn w:val="12"/>
    <w:link w:val="8"/>
    <w:qFormat/>
    <w:uiPriority w:val="0"/>
    <w:rPr>
      <w:rFonts w:asciiTheme="minorHAnsi" w:hAnsiTheme="minorHAnsi" w:eastAsiaTheme="minorEastAsia" w:cstheme="minorBidi"/>
      <w:kern w:val="2"/>
      <w:sz w:val="18"/>
      <w:szCs w:val="18"/>
    </w:rPr>
  </w:style>
  <w:style w:type="character" w:customStyle="1" w:styleId="20">
    <w:name w:val="页脚 字符"/>
    <w:basedOn w:val="12"/>
    <w:link w:val="7"/>
    <w:qFormat/>
    <w:uiPriority w:val="0"/>
    <w:rPr>
      <w:rFonts w:asciiTheme="minorHAnsi" w:hAnsiTheme="minorHAnsi" w:eastAsiaTheme="minorEastAsia" w:cstheme="minorBidi"/>
      <w:kern w:val="2"/>
      <w:sz w:val="18"/>
      <w:szCs w:val="18"/>
    </w:rPr>
  </w:style>
  <w:style w:type="paragraph" w:customStyle="1" w:styleId="21">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42</Pages>
  <Words>19289</Words>
  <Characters>20535</Characters>
  <Lines>169</Lines>
  <Paragraphs>47</Paragraphs>
  <TotalTime>187</TotalTime>
  <ScaleCrop>false</ScaleCrop>
  <LinksUpToDate>false</LinksUpToDate>
  <CharactersWithSpaces>22005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2025-11-30T12:24:00Z</dcterms:created>
  <dc:creator>正式环境陈艳测试账号</dc:creator>
  <cp:lastModifiedBy>严萌。</cp:lastModifiedBy>
  <dcterms:modified xsi:type="dcterms:W3CDTF">2025-12-15T01:51:04Z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F967F530207943D9958BF409DC00B2C1_13</vt:lpwstr>
  </property>
  <property fmtid="{D5CDD505-2E9C-101B-9397-08002B2CF9AE}" pid="4" name="KSOTemplateDocerSaveRecord">
    <vt:lpwstr>eyJoZGlkIjoiOGU1MDgzMWRhMzlhZmQxYTU5MTk5OWI3YzJiYTYwNjgiLCJ1c2VySWQiOiI2NTA3NzMxOTIifQ==</vt:lpwstr>
  </property>
</Properties>
</file>